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B3635" w14:textId="77777777" w:rsidR="00F97EBE" w:rsidRDefault="00BB7C41">
      <w:pPr>
        <w:spacing w:after="0" w:line="276" w:lineRule="auto"/>
        <w:rPr>
          <w:sz w:val="24"/>
          <w:szCs w:val="24"/>
        </w:rPr>
      </w:pPr>
      <w:r>
        <w:rPr>
          <w:sz w:val="24"/>
          <w:szCs w:val="24"/>
        </w:rPr>
        <w:t>Akademia Tarnowska</w:t>
      </w:r>
    </w:p>
    <w:p w14:paraId="1EBB6067" w14:textId="77777777" w:rsidR="00F97EBE" w:rsidRDefault="00BB7C41">
      <w:pPr>
        <w:spacing w:after="0" w:line="276" w:lineRule="auto"/>
      </w:pPr>
      <w:r>
        <w:t>ul. A. Mickiewicza 8</w:t>
      </w:r>
    </w:p>
    <w:p w14:paraId="156E1E65" w14:textId="77777777" w:rsidR="00F97EBE" w:rsidRDefault="00BB7C41">
      <w:pPr>
        <w:spacing w:line="276" w:lineRule="auto"/>
        <w:rPr>
          <w:rFonts w:cstheme="minorHAnsi"/>
        </w:rPr>
      </w:pPr>
      <w:r>
        <w:t>33 – 100 Tarnów</w:t>
      </w:r>
    </w:p>
    <w:p w14:paraId="3C90CD67" w14:textId="77777777" w:rsidR="00F97EBE" w:rsidRDefault="00BB7C41">
      <w:pPr>
        <w:pStyle w:val="Bezodstpw"/>
        <w:spacing w:before="120" w:after="120"/>
        <w:jc w:val="center"/>
        <w:rPr>
          <w:rFonts w:cstheme="minorHAnsi"/>
          <w:b/>
          <w:sz w:val="24"/>
          <w:szCs w:val="24"/>
        </w:rPr>
      </w:pPr>
      <w:r>
        <w:rPr>
          <w:rFonts w:cstheme="minorHAnsi"/>
          <w:b/>
          <w:sz w:val="24"/>
          <w:szCs w:val="24"/>
        </w:rPr>
        <w:t>Ogłoszenie o otwartym naborze PARTNERA</w:t>
      </w:r>
    </w:p>
    <w:p w14:paraId="1A24B18D" w14:textId="77777777" w:rsidR="00F97EBE" w:rsidRDefault="00BB7C41">
      <w:pPr>
        <w:pStyle w:val="Bezodstpw"/>
        <w:spacing w:before="120" w:after="120"/>
        <w:jc w:val="center"/>
        <w:rPr>
          <w:rFonts w:eastAsia="Calibri" w:cstheme="minorHAnsi"/>
          <w:b/>
          <w:bCs/>
        </w:rPr>
      </w:pPr>
      <w:r>
        <w:rPr>
          <w:rFonts w:cstheme="minorHAnsi"/>
        </w:rPr>
        <w:t xml:space="preserve"> w celu wspólnego opracowania i realizacji projektu dofinansowanego w ramach naboru konkurencyjnego: </w:t>
      </w:r>
      <w:r>
        <w:rPr>
          <w:rFonts w:eastAsia="Calibri" w:cstheme="minorHAnsi"/>
          <w:b/>
          <w:bCs/>
          <w:i/>
        </w:rPr>
        <w:t>Kształcenie na potrzeby technologii krytycznych</w:t>
      </w:r>
      <w:r>
        <w:rPr>
          <w:rFonts w:eastAsia="Calibri" w:cstheme="minorHAnsi"/>
          <w:b/>
          <w:bCs/>
        </w:rPr>
        <w:t>,</w:t>
      </w:r>
    </w:p>
    <w:p w14:paraId="0CBC2C7E" w14:textId="77777777" w:rsidR="00F97EBE" w:rsidRDefault="00BB7C41">
      <w:pPr>
        <w:pStyle w:val="Bezodstpw"/>
        <w:spacing w:before="120" w:after="120"/>
        <w:jc w:val="center"/>
        <w:rPr>
          <w:rFonts w:eastAsia="Times New Roman" w:cstheme="minorHAnsi"/>
          <w:lang w:eastAsia="pl-PL"/>
        </w:rPr>
      </w:pPr>
      <w:r>
        <w:rPr>
          <w:rFonts w:eastAsia="Calibri" w:cstheme="minorHAnsi"/>
          <w:b/>
          <w:bCs/>
        </w:rPr>
        <w:t xml:space="preserve"> </w:t>
      </w:r>
      <w:r>
        <w:rPr>
          <w:rFonts w:eastAsia="Calibri" w:cstheme="minorHAnsi"/>
        </w:rPr>
        <w:t xml:space="preserve">nr naboru: FERS.01.05-IP.08-003/25, Fundusze Europejskie dla Rozwoju Społecznego 2021-2027 (FERS), </w:t>
      </w:r>
      <w:r>
        <w:rPr>
          <w:rFonts w:eastAsia="Times New Roman" w:cstheme="minorHAnsi"/>
          <w:lang w:eastAsia="pl-PL"/>
        </w:rPr>
        <w:t>Priorytet 1 Umiejętności, Działanie 01.05 Umiejętności w szkolnictwie wyższym.</w:t>
      </w:r>
    </w:p>
    <w:p w14:paraId="2A038F14" w14:textId="77777777" w:rsidR="00F97EBE" w:rsidRDefault="00F97EBE">
      <w:pPr>
        <w:pStyle w:val="Bezodstpw"/>
        <w:spacing w:before="120" w:after="120"/>
        <w:jc w:val="center"/>
        <w:rPr>
          <w:rFonts w:eastAsia="Times New Roman" w:cstheme="minorHAnsi"/>
          <w:lang w:eastAsia="pl-PL"/>
        </w:rPr>
      </w:pPr>
    </w:p>
    <w:p w14:paraId="6594B9AC" w14:textId="77777777" w:rsidR="00F97EBE" w:rsidRDefault="00F97EBE">
      <w:pPr>
        <w:pStyle w:val="Bezodstpw"/>
        <w:spacing w:before="120" w:after="120"/>
        <w:jc w:val="center"/>
        <w:rPr>
          <w:rFonts w:eastAsia="Times New Roman" w:cstheme="minorHAnsi"/>
          <w:lang w:eastAsia="pl-PL"/>
        </w:rPr>
      </w:pPr>
    </w:p>
    <w:p w14:paraId="15A3D94C" w14:textId="77777777" w:rsidR="00F97EBE" w:rsidRDefault="00BB7C41">
      <w:pPr>
        <w:pStyle w:val="Bezodstpw"/>
        <w:numPr>
          <w:ilvl w:val="0"/>
          <w:numId w:val="1"/>
        </w:numPr>
        <w:spacing w:before="120" w:after="120"/>
        <w:rPr>
          <w:rFonts w:eastAsia="Times New Roman" w:cstheme="minorHAnsi"/>
          <w:b/>
          <w:bCs/>
          <w:lang w:eastAsia="pl-PL"/>
        </w:rPr>
      </w:pPr>
      <w:r>
        <w:rPr>
          <w:rFonts w:eastAsia="Times New Roman" w:cstheme="minorHAnsi"/>
          <w:b/>
          <w:bCs/>
          <w:lang w:eastAsia="pl-PL"/>
        </w:rPr>
        <w:t>Ogłoszenie o naborze.</w:t>
      </w:r>
    </w:p>
    <w:p w14:paraId="49D3FBF8" w14:textId="7AD3D975" w:rsidR="00F97EBE" w:rsidRDefault="00BB7C41">
      <w:pPr>
        <w:pStyle w:val="Bezodstpw"/>
        <w:spacing w:before="120" w:after="120"/>
        <w:rPr>
          <w:rFonts w:eastAsia="Times New Roman" w:cstheme="minorHAnsi"/>
          <w:lang w:eastAsia="pl-PL"/>
        </w:rPr>
      </w:pPr>
      <w:r>
        <w:rPr>
          <w:rFonts w:eastAsia="Times New Roman" w:cstheme="minorHAnsi"/>
          <w:lang w:eastAsia="pl-PL"/>
        </w:rPr>
        <w:t xml:space="preserve">Akademia Tarnowska, ul. A. Mickiewicza 8, 33-100 Tarnów, ogłasza otwarty nabór partnera/partnerów spoza sektora finansów publicznych w celu wspólnego przygotowania i realizacji projektu dofinansowanego w ramach konkursu: </w:t>
      </w:r>
      <w:r>
        <w:rPr>
          <w:rFonts w:eastAsia="Calibri" w:cstheme="minorHAnsi"/>
          <w:b/>
          <w:bCs/>
          <w:i/>
        </w:rPr>
        <w:t>Kształcenie na potrzeby technologii krytycznych,</w:t>
      </w:r>
      <w:r>
        <w:rPr>
          <w:rFonts w:eastAsia="Calibri" w:cstheme="minorHAnsi"/>
          <w:bCs/>
          <w:i/>
        </w:rPr>
        <w:t xml:space="preserve"> </w:t>
      </w:r>
      <w:r w:rsidR="007F5CB2">
        <w:rPr>
          <w:rFonts w:eastAsia="Calibri" w:cstheme="minorHAnsi"/>
          <w:bCs/>
          <w:i/>
        </w:rPr>
        <w:t xml:space="preserve">       </w:t>
      </w:r>
      <w:r>
        <w:rPr>
          <w:rFonts w:eastAsia="Calibri" w:cstheme="minorHAnsi"/>
        </w:rPr>
        <w:t>nr naboru: FERS.01.05-IP.08-003/25,</w:t>
      </w:r>
    </w:p>
    <w:p w14:paraId="64763E3F"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Nabór Partnera jest prowadzony na podstawie art. 39 Ustawy z dnia 28 kwietnia 2022 r. o zasadach realizacji zadań finansowanych ze środków europejskich w perspektywie finansowej 2021 – 2027.</w:t>
      </w:r>
    </w:p>
    <w:p w14:paraId="273ED8F8" w14:textId="77777777" w:rsidR="00F97EBE" w:rsidRDefault="00F97EBE">
      <w:pPr>
        <w:pStyle w:val="Bezodstpw"/>
        <w:spacing w:before="120" w:after="120"/>
        <w:rPr>
          <w:rFonts w:eastAsia="Times New Roman" w:cstheme="minorHAnsi"/>
          <w:lang w:eastAsia="pl-PL"/>
        </w:rPr>
      </w:pPr>
    </w:p>
    <w:p w14:paraId="31167304" w14:textId="77777777" w:rsidR="00F97EBE" w:rsidRDefault="00BB7C41">
      <w:pPr>
        <w:pStyle w:val="Bezodstpw"/>
        <w:numPr>
          <w:ilvl w:val="0"/>
          <w:numId w:val="1"/>
        </w:numPr>
        <w:spacing w:before="120" w:after="120"/>
        <w:rPr>
          <w:rFonts w:eastAsia="Times New Roman" w:cstheme="minorHAnsi"/>
          <w:b/>
          <w:bCs/>
          <w:lang w:eastAsia="pl-PL"/>
        </w:rPr>
      </w:pPr>
      <w:r>
        <w:rPr>
          <w:rFonts w:eastAsia="Times New Roman" w:cstheme="minorHAnsi"/>
          <w:b/>
          <w:bCs/>
          <w:lang w:eastAsia="pl-PL"/>
        </w:rPr>
        <w:t>Cel partnerstwa.</w:t>
      </w:r>
    </w:p>
    <w:p w14:paraId="454740E3"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Celem partnerstwa jest wspólne opracowanie wniosku będącego podstawą aplikowania o dofinansowanie oraz realizacja projektu (w przypadku uzyskania dofinansowania).</w:t>
      </w:r>
    </w:p>
    <w:p w14:paraId="59911589"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W ramach realizacji projektu przewiduje się działania związane ze wsparciem</w:t>
      </w:r>
      <w:r>
        <w:rPr>
          <w:rFonts w:cstheme="minorHAnsi"/>
        </w:rPr>
        <w:t xml:space="preserve"> w dostosowaniu oferty uczelni do potrzeb rozwoju gospodarki oraz zielonej i cyfrowej transformacji poprzez rozwój umiejętności istotnych dla rozwoju i wytwarzania technologii krytycznych w zakresie technologii cyfrowych, czystych i </w:t>
      </w:r>
      <w:proofErr w:type="spellStart"/>
      <w:r>
        <w:rPr>
          <w:rFonts w:cstheme="minorHAnsi"/>
        </w:rPr>
        <w:t>zasobooszczędnych</w:t>
      </w:r>
      <w:proofErr w:type="spellEnd"/>
      <w:r>
        <w:rPr>
          <w:rFonts w:cstheme="minorHAnsi"/>
        </w:rPr>
        <w:t xml:space="preserve"> oraz biotechnologii (obszary wskazane w Komunikacie KE C/2024/3209), a w szczególności ze</w:t>
      </w:r>
      <w:r>
        <w:rPr>
          <w:rFonts w:eastAsia="Times New Roman" w:cstheme="minorHAnsi"/>
          <w:lang w:eastAsia="pl-PL"/>
        </w:rPr>
        <w:t xml:space="preserve">: </w:t>
      </w:r>
    </w:p>
    <w:p w14:paraId="2DF41724" w14:textId="77777777" w:rsidR="00F97EBE" w:rsidRDefault="00BB7C41">
      <w:pPr>
        <w:pStyle w:val="NCBRnormalnywcicie"/>
        <w:numPr>
          <w:ilvl w:val="0"/>
          <w:numId w:val="2"/>
        </w:numPr>
        <w:spacing w:before="120"/>
        <w:rPr>
          <w:color w:val="auto"/>
        </w:rPr>
      </w:pPr>
      <w:r>
        <w:rPr>
          <w:rFonts w:asciiTheme="minorHAnsi" w:hAnsiTheme="minorHAnsi" w:cstheme="minorHAnsi"/>
          <w:color w:val="auto"/>
        </w:rPr>
        <w:t>w</w:t>
      </w:r>
      <w:r>
        <w:rPr>
          <w:rFonts w:asciiTheme="minorHAnsi" w:hAnsiTheme="minorHAnsi" w:cstheme="minorHAnsi"/>
          <w14:textFill>
            <w14:solidFill>
              <w14:srgbClr w14:val="000000">
                <w14:lumMod w14:val="75000"/>
              </w14:srgbClr>
            </w14:solidFill>
          </w14:textFill>
        </w:rPr>
        <w:t>sparciem w</w:t>
      </w:r>
      <w:r>
        <w:rPr>
          <w:rFonts w:asciiTheme="minorHAnsi" w:hAnsiTheme="minorHAnsi" w:cstheme="minorHAnsi"/>
          <w:color w:val="auto"/>
        </w:rPr>
        <w:t xml:space="preserve"> modyfikacji  programów kształcenia na kierunkach istniejących z obszarów technologii krytycznych określonych w Komunikacie KE C/2024/3209, a mianowicie: </w:t>
      </w:r>
    </w:p>
    <w:p w14:paraId="082888EA" w14:textId="77777777" w:rsidR="00F97EBE" w:rsidRDefault="00BB7C41">
      <w:pPr>
        <w:pStyle w:val="NCBRnormalnywcicie"/>
        <w:spacing w:before="120"/>
        <w:ind w:left="360" w:firstLine="0"/>
        <w:rPr>
          <w:color w:val="auto"/>
        </w:rPr>
      </w:pPr>
      <w:r>
        <w:rPr>
          <w:rFonts w:asciiTheme="minorHAnsi" w:hAnsiTheme="minorHAnsi" w:cstheme="minorHAnsi"/>
          <w:color w:val="auto"/>
        </w:rPr>
        <w:t xml:space="preserve">(1) Automatyka, robotyka i inżynieria elektryczna z obszaru Technologii cyfrowych oraz Czystych i </w:t>
      </w:r>
      <w:proofErr w:type="spellStart"/>
      <w:r>
        <w:rPr>
          <w:rFonts w:asciiTheme="minorHAnsi" w:hAnsiTheme="minorHAnsi" w:cstheme="minorHAnsi"/>
          <w:color w:val="auto"/>
        </w:rPr>
        <w:t>zasobooszczędnych</w:t>
      </w:r>
      <w:proofErr w:type="spellEnd"/>
      <w:r>
        <w:rPr>
          <w:rFonts w:asciiTheme="minorHAnsi" w:hAnsiTheme="minorHAnsi" w:cstheme="minorHAnsi"/>
          <w:color w:val="auto"/>
        </w:rPr>
        <w:t xml:space="preserve"> technologii;  </w:t>
      </w:r>
    </w:p>
    <w:p w14:paraId="16191B67" w14:textId="77777777" w:rsidR="00F97EBE" w:rsidRDefault="00BB7C41">
      <w:pPr>
        <w:pStyle w:val="NCBRnormalnywcicie"/>
        <w:spacing w:before="120"/>
        <w:ind w:left="360" w:firstLine="0"/>
        <w:rPr>
          <w:color w:val="auto"/>
        </w:rPr>
      </w:pPr>
      <w:r>
        <w:rPr>
          <w:rFonts w:asciiTheme="minorHAnsi" w:hAnsiTheme="minorHAnsi" w:cstheme="minorHAnsi"/>
          <w:color w:val="auto"/>
        </w:rPr>
        <w:t xml:space="preserve">(2) Informatyka z obszaru Technologii cyfrowych; </w:t>
      </w:r>
    </w:p>
    <w:p w14:paraId="5C3D0034" w14:textId="77777777" w:rsidR="00F97EBE" w:rsidRDefault="00BB7C41">
      <w:pPr>
        <w:pStyle w:val="NCBRnormalnywcicie"/>
        <w:spacing w:before="120"/>
        <w:ind w:left="360" w:firstLine="0"/>
        <w:rPr>
          <w:color w:val="auto"/>
        </w:rPr>
      </w:pPr>
      <w:r>
        <w:rPr>
          <w:rFonts w:asciiTheme="minorHAnsi" w:hAnsiTheme="minorHAnsi" w:cstheme="minorHAnsi"/>
          <w:color w:val="auto"/>
        </w:rPr>
        <w:t xml:space="preserve">(3) Technologia i zarządzanie produkcją z obszaru Czystych i </w:t>
      </w:r>
      <w:proofErr w:type="spellStart"/>
      <w:r>
        <w:rPr>
          <w:rFonts w:asciiTheme="minorHAnsi" w:hAnsiTheme="minorHAnsi" w:cstheme="minorHAnsi"/>
          <w:color w:val="auto"/>
        </w:rPr>
        <w:t>zasobooszczędnych</w:t>
      </w:r>
      <w:proofErr w:type="spellEnd"/>
      <w:r>
        <w:rPr>
          <w:rFonts w:asciiTheme="minorHAnsi" w:hAnsiTheme="minorHAnsi" w:cstheme="minorHAnsi"/>
          <w:color w:val="auto"/>
        </w:rPr>
        <w:t xml:space="preserve"> technologii.</w:t>
      </w:r>
    </w:p>
    <w:p w14:paraId="2B3DB72A" w14:textId="77777777" w:rsidR="00F97EBE" w:rsidRDefault="00BB7C41">
      <w:pPr>
        <w:pStyle w:val="NCBRnormalnywcicie"/>
        <w:numPr>
          <w:ilvl w:val="0"/>
          <w:numId w:val="2"/>
        </w:numPr>
        <w:spacing w:before="120"/>
        <w:rPr>
          <w:rFonts w:asciiTheme="minorHAnsi" w:hAnsiTheme="minorHAnsi" w:cstheme="minorHAnsi"/>
          <w:color w:val="auto"/>
        </w:rPr>
      </w:pPr>
      <w:r>
        <w:rPr>
          <w:rFonts w:asciiTheme="minorHAnsi" w:hAnsiTheme="minorHAnsi" w:cstheme="minorHAnsi"/>
          <w:color w:val="auto"/>
        </w:rPr>
        <w:t>wsparciem w realizacji dodatkowych elementów kształcenia, w tym elementów praktycznych, podnoszących kompetencje studentów i studentek,  w tym staży, kursów, szkoleń, wizyt studyjnych, zajęć dodatkowych prowadzonych przez praktyków działających zawodowo w obszarach technologii krytycznych, o których mowa w Komunikacie KE C/2024/3209, zajęć wyrównawczych;</w:t>
      </w:r>
    </w:p>
    <w:p w14:paraId="79A88BCA" w14:textId="77777777" w:rsidR="00F97EBE" w:rsidRDefault="00BB7C41">
      <w:pPr>
        <w:pStyle w:val="Default"/>
        <w:numPr>
          <w:ilvl w:val="0"/>
          <w:numId w:val="2"/>
        </w:numPr>
        <w:rPr>
          <w:rFonts w:asciiTheme="minorHAnsi" w:eastAsia="Times New Roman" w:hAnsiTheme="minorHAnsi" w:cstheme="minorHAnsi"/>
          <w:sz w:val="22"/>
          <w:szCs w:val="22"/>
          <w:lang w:eastAsia="pl-PL"/>
        </w:rPr>
      </w:pPr>
      <w:r>
        <w:rPr>
          <w:rFonts w:cstheme="minorHAnsi"/>
          <w:color w:val="auto"/>
          <w:sz w:val="22"/>
          <w:szCs w:val="22"/>
        </w:rPr>
        <w:t xml:space="preserve">wsparciem w podnoszeniu kompetencji lub uzyskiwaniu dodatkowych kwalifikacji kadry realizującej dydaktykę na kierunkach objętych wsparciem w projekcie w obszarach technologii krytycznych wskazanych w Komunikacie KE C/2024/3209; w szczególności w podnoszeniu kompetencji w kontekście: 1) aspektów merytorycznych dotyczących technologii krytycznych wskazanych w Komunikacie KE C/2024/3209, 2) kompetencji cyfrowych, 3) rozwoju świadomości i umiejętności na rzecz zielonej transformacji, 4) projektowania uniwersalnego, 5)przedsiębiorczości i komercjalizacji efektów badań naukowych, 6) kompetencji dydaktycznych, </w:t>
      </w:r>
      <w:r>
        <w:rPr>
          <w:rFonts w:cstheme="minorHAnsi"/>
          <w:color w:val="auto"/>
          <w:sz w:val="22"/>
          <w:szCs w:val="22"/>
        </w:rPr>
        <w:lastRenderedPageBreak/>
        <w:t>w tym wykorzystania nowoczesnych metod dydaktycznych, metodyki kształcenia,</w:t>
      </w:r>
      <w:r>
        <w:rPr>
          <w:rFonts w:cstheme="minorHAnsi"/>
          <w:color w:val="000000" w:themeColor="text1"/>
          <w:sz w:val="22"/>
          <w:szCs w:val="22"/>
        </w:rPr>
        <w:t xml:space="preserve"> poprzez m.in. udział w kursach, szkoleniach, stażach, wizytach studyjnych (krajowych i międzynarodowych) i innych formach wymiany wiedzy i doświadczenia z praktykami działającymi zawodowo w obszarach technologii krytycznych wskazanych w Komunikacie </w:t>
      </w:r>
      <w:r>
        <w:rPr>
          <w:rFonts w:cstheme="minorHAnsi"/>
          <w:color w:val="auto"/>
          <w:sz w:val="22"/>
          <w:szCs w:val="22"/>
        </w:rPr>
        <w:t>KE C/2024/3209.</w:t>
      </w:r>
    </w:p>
    <w:p w14:paraId="5207B3CD" w14:textId="77777777" w:rsidR="00F97EBE" w:rsidRDefault="00F97EBE">
      <w:pPr>
        <w:pStyle w:val="Default"/>
        <w:rPr>
          <w:rFonts w:asciiTheme="minorHAnsi" w:eastAsia="Times New Roman" w:hAnsiTheme="minorHAnsi" w:cstheme="minorHAnsi"/>
          <w:sz w:val="22"/>
          <w:szCs w:val="22"/>
          <w:lang w:eastAsia="pl-PL"/>
        </w:rPr>
      </w:pPr>
    </w:p>
    <w:p w14:paraId="0C899D36" w14:textId="77777777" w:rsidR="00F97EBE" w:rsidRDefault="00BB7C41">
      <w:pPr>
        <w:pStyle w:val="Default"/>
        <w:rPr>
          <w:rFonts w:asciiTheme="minorHAnsi" w:eastAsia="Times New Roman" w:hAnsiTheme="minorHAnsi" w:cstheme="minorHAnsi"/>
          <w:sz w:val="22"/>
          <w:szCs w:val="22"/>
          <w:lang w:eastAsia="pl-PL"/>
        </w:rPr>
      </w:pPr>
      <w:r>
        <w:rPr>
          <w:rFonts w:cstheme="minorHAnsi"/>
          <w:color w:val="auto"/>
          <w:sz w:val="22"/>
          <w:szCs w:val="22"/>
        </w:rPr>
        <w:t>Akademia Tarnowska będzie pełniła rolę Lidera partnerstwa</w:t>
      </w:r>
      <w:r>
        <w:rPr>
          <w:rFonts w:eastAsia="Times New Roman" w:cstheme="minorHAnsi"/>
          <w:sz w:val="22"/>
          <w:szCs w:val="22"/>
          <w:lang w:eastAsia="pl-PL"/>
        </w:rPr>
        <w:t>.</w:t>
      </w:r>
    </w:p>
    <w:p w14:paraId="1660DD03" w14:textId="77777777" w:rsidR="00F97EBE" w:rsidRDefault="00F97EBE">
      <w:pPr>
        <w:pStyle w:val="Default"/>
        <w:rPr>
          <w:rFonts w:asciiTheme="minorHAnsi" w:eastAsia="Times New Roman" w:hAnsiTheme="minorHAnsi" w:cstheme="minorHAnsi"/>
          <w:sz w:val="22"/>
          <w:szCs w:val="22"/>
          <w:lang w:eastAsia="pl-PL"/>
        </w:rPr>
      </w:pPr>
    </w:p>
    <w:p w14:paraId="1D0B7F01" w14:textId="77777777" w:rsidR="00F97EBE" w:rsidRDefault="00BB7C41">
      <w:pPr>
        <w:pStyle w:val="Default"/>
        <w:numPr>
          <w:ilvl w:val="0"/>
          <w:numId w:val="1"/>
        </w:numPr>
        <w:rPr>
          <w:rFonts w:asciiTheme="minorHAnsi" w:eastAsia="Times New Roman" w:hAnsiTheme="minorHAnsi" w:cstheme="minorHAnsi"/>
          <w:b/>
          <w:bCs/>
          <w:sz w:val="22"/>
          <w:szCs w:val="22"/>
          <w:lang w:eastAsia="pl-PL"/>
        </w:rPr>
      </w:pPr>
      <w:r>
        <w:rPr>
          <w:rFonts w:cstheme="minorHAnsi"/>
          <w:b/>
          <w:bCs/>
          <w:color w:val="auto"/>
          <w:sz w:val="22"/>
          <w:szCs w:val="22"/>
        </w:rPr>
        <w:t>Wymagania wobec PARTNERA.</w:t>
      </w:r>
    </w:p>
    <w:p w14:paraId="5D1404B4" w14:textId="77777777" w:rsidR="00F97EBE" w:rsidRDefault="00F97EBE">
      <w:pPr>
        <w:pStyle w:val="Default"/>
        <w:ind w:left="1080"/>
        <w:rPr>
          <w:rFonts w:asciiTheme="minorHAnsi" w:eastAsia="Times New Roman" w:hAnsiTheme="minorHAnsi" w:cstheme="minorHAnsi"/>
          <w:sz w:val="22"/>
          <w:szCs w:val="22"/>
          <w:lang w:eastAsia="pl-PL"/>
        </w:rPr>
      </w:pPr>
    </w:p>
    <w:p w14:paraId="64056832" w14:textId="77777777" w:rsidR="00F97EBE" w:rsidRDefault="00BB7C41">
      <w:pPr>
        <w:pStyle w:val="Default"/>
        <w:rPr>
          <w:rFonts w:asciiTheme="minorHAnsi" w:hAnsiTheme="minorHAnsi" w:cstheme="minorHAnsi"/>
          <w:color w:val="auto"/>
          <w:sz w:val="22"/>
          <w:szCs w:val="22"/>
        </w:rPr>
      </w:pPr>
      <w:r>
        <w:rPr>
          <w:rFonts w:cstheme="minorHAnsi"/>
          <w:color w:val="auto"/>
          <w:sz w:val="22"/>
          <w:szCs w:val="22"/>
        </w:rPr>
        <w:t>Realizacja projektu w partnerstwie musi mieć swoje uzasadnienie  merytoryczne, tzn. dzięki współpracy  podmiotów powstanie wartość dodana niemożliwa do osiągnięcia w przypadku działań podejmowanych indywidualnie lub poprzez zlecanie działań podmiotom zewnętrznym wobec wnioskodawcy.</w:t>
      </w:r>
    </w:p>
    <w:p w14:paraId="3E7B3B34" w14:textId="77777777" w:rsidR="00F97EBE" w:rsidRDefault="00F97EBE">
      <w:pPr>
        <w:pStyle w:val="Default"/>
        <w:rPr>
          <w:rFonts w:asciiTheme="minorHAnsi" w:hAnsiTheme="minorHAnsi" w:cstheme="minorHAnsi"/>
          <w:color w:val="auto"/>
          <w:sz w:val="22"/>
          <w:szCs w:val="22"/>
        </w:rPr>
      </w:pPr>
    </w:p>
    <w:p w14:paraId="189B0918" w14:textId="77777777" w:rsidR="00F97EBE" w:rsidRDefault="00BB7C41">
      <w:pPr>
        <w:pStyle w:val="Default"/>
        <w:rPr>
          <w:rFonts w:asciiTheme="minorHAnsi" w:eastAsia="Times New Roman" w:hAnsiTheme="minorHAnsi" w:cstheme="minorHAnsi"/>
          <w:sz w:val="22"/>
          <w:szCs w:val="22"/>
          <w:lang w:eastAsia="pl-PL"/>
        </w:rPr>
      </w:pPr>
      <w:r>
        <w:rPr>
          <w:rFonts w:cstheme="minorHAnsi"/>
          <w:color w:val="auto"/>
          <w:sz w:val="22"/>
          <w:szCs w:val="22"/>
        </w:rPr>
        <w:t xml:space="preserve">Partner w celu wspólnej realizacji projektu zadeklaruje wniesienie wkładu w realizację zadań i celu partnerstwa w postaci wiedzy, doświadczenia, know-how, zasobów ludzkich, organizacyjnych, technicznych, ewentualnie jeszcze innych, którymi dysponuje. </w:t>
      </w:r>
    </w:p>
    <w:p w14:paraId="0EB890F9"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Partner będzie odpowiedzialny za realizację wspólnie uzgodnionych zadań. Zadania realizowane przez Partnera w ramach projektu nie mogą polegać na oferowaniu towarów, świadczeniu usług lub wykonywaniu robót budowlanych na rzecz pozostałych partnerów (w tym Lidera).</w:t>
      </w:r>
    </w:p>
    <w:p w14:paraId="599E5D39"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Partner musi prowadzić działalność gospodarczą lub działalność badawczo-rozwojową w obszarze technologii krytycznych wskazanych w Komunikacie KE C/2024/3209.</w:t>
      </w:r>
    </w:p>
    <w:p w14:paraId="2B6B3976"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Partner musi posiadać ponad 10 – letnie doświadczenie w funkcjonowaniu w branżach automatyki, ICT lub technologii produkcji i recyklingu</w:t>
      </w:r>
      <w:r>
        <w:rPr>
          <w:rFonts w:eastAsia="Times New Roman" w:cstheme="minorHAnsi"/>
          <w:color w:val="FF0000"/>
          <w:lang w:eastAsia="pl-PL"/>
        </w:rPr>
        <w:t xml:space="preserve"> </w:t>
      </w:r>
      <w:r>
        <w:rPr>
          <w:rFonts w:eastAsia="Times New Roman" w:cstheme="minorHAnsi"/>
          <w:lang w:eastAsia="pl-PL"/>
        </w:rPr>
        <w:t>oraz wykazać praktyczne wykorzystanie nowoczesnych technologii we wskazanym powyżej obszarach.</w:t>
      </w:r>
    </w:p>
    <w:p w14:paraId="4B8830F8" w14:textId="77777777" w:rsidR="00F97EBE" w:rsidRDefault="00BB7C41">
      <w:pPr>
        <w:pStyle w:val="Bezodstpw"/>
        <w:spacing w:before="120" w:after="120"/>
      </w:pPr>
      <w:r>
        <w:rPr>
          <w:rFonts w:eastAsia="Times New Roman" w:cstheme="minorHAnsi"/>
          <w:lang w:eastAsia="pl-PL"/>
        </w:rPr>
        <w:t>Partner powinien posiadać bardzo dobrą znajomość zagadnień z zakresu automatyki, robotyki, systemów autonomicznych, sztucznej inteligencji, łączności cyfrowej, bezpieczeństwa cyfrowego, technologii materiałowej, recyklingu lub odnawialnych źródeł energii.</w:t>
      </w:r>
    </w:p>
    <w:p w14:paraId="42CB7069" w14:textId="77777777" w:rsidR="00F97EBE" w:rsidRDefault="00F97EBE">
      <w:pPr>
        <w:pStyle w:val="Bezodstpw"/>
        <w:spacing w:before="120" w:after="120"/>
        <w:rPr>
          <w:rFonts w:eastAsia="Times New Roman" w:cstheme="minorHAnsi"/>
          <w:i/>
          <w:color w:val="FF0000"/>
          <w:lang w:eastAsia="pl-PL"/>
        </w:rPr>
      </w:pPr>
    </w:p>
    <w:p w14:paraId="11A44F94" w14:textId="77777777" w:rsidR="00F97EBE" w:rsidRDefault="00BB7C41">
      <w:pPr>
        <w:pStyle w:val="Bezodstpw"/>
        <w:numPr>
          <w:ilvl w:val="0"/>
          <w:numId w:val="1"/>
        </w:numPr>
        <w:spacing w:before="120" w:after="120"/>
        <w:rPr>
          <w:rFonts w:eastAsia="Times New Roman" w:cstheme="minorHAnsi"/>
          <w:b/>
          <w:bCs/>
          <w:lang w:eastAsia="pl-PL"/>
        </w:rPr>
      </w:pPr>
      <w:r>
        <w:rPr>
          <w:rFonts w:eastAsia="Times New Roman" w:cstheme="minorHAnsi"/>
          <w:b/>
          <w:bCs/>
          <w:lang w:eastAsia="pl-PL"/>
        </w:rPr>
        <w:t>Kryteria wyboru PARTNERA.</w:t>
      </w:r>
    </w:p>
    <w:p w14:paraId="678D95AA" w14:textId="77777777" w:rsidR="00F97EBE" w:rsidRDefault="00BB7C41">
      <w:pPr>
        <w:pStyle w:val="Bezodstpw"/>
        <w:numPr>
          <w:ilvl w:val="0"/>
          <w:numId w:val="3"/>
        </w:numPr>
        <w:spacing w:before="120" w:after="120"/>
        <w:rPr>
          <w:rFonts w:eastAsia="Times New Roman" w:cstheme="minorHAnsi"/>
          <w:b/>
          <w:bCs/>
          <w:lang w:eastAsia="pl-PL"/>
        </w:rPr>
      </w:pPr>
      <w:r>
        <w:rPr>
          <w:rFonts w:eastAsia="Times New Roman" w:cstheme="minorHAnsi"/>
          <w:b/>
          <w:bCs/>
          <w:lang w:eastAsia="pl-PL"/>
        </w:rPr>
        <w:t>Warunki udziału</w:t>
      </w:r>
    </w:p>
    <w:p w14:paraId="3DB37DBD" w14:textId="77777777" w:rsidR="00F97EBE" w:rsidRDefault="00BB7C41">
      <w:pPr>
        <w:pStyle w:val="Bezodstpw"/>
        <w:spacing w:before="120" w:after="120"/>
        <w:rPr>
          <w:rFonts w:eastAsia="Times New Roman" w:cstheme="minorHAnsi"/>
          <w:lang w:eastAsia="pl-PL"/>
        </w:rPr>
      </w:pPr>
      <w:r>
        <w:rPr>
          <w:rFonts w:eastAsia="Times New Roman" w:cstheme="minorHAnsi"/>
          <w:lang w:eastAsia="pl-PL"/>
        </w:rPr>
        <w:t>Do realizacji projektu zostanie wybranych od 1 do 5 partnerów, spełniających następujące wymagania:</w:t>
      </w:r>
    </w:p>
    <w:p w14:paraId="29EB937A" w14:textId="77777777" w:rsidR="00F97EBE" w:rsidRDefault="00BB7C41">
      <w:pPr>
        <w:pStyle w:val="Bezodstpw"/>
        <w:numPr>
          <w:ilvl w:val="0"/>
          <w:numId w:val="4"/>
        </w:numPr>
        <w:spacing w:before="120" w:after="120"/>
        <w:rPr>
          <w:rFonts w:eastAsia="Times New Roman" w:cstheme="minorHAnsi"/>
          <w:lang w:eastAsia="pl-PL"/>
        </w:rPr>
      </w:pPr>
      <w:r>
        <w:rPr>
          <w:rFonts w:eastAsia="Times New Roman" w:cstheme="minorHAnsi"/>
          <w:lang w:eastAsia="pl-PL"/>
        </w:rPr>
        <w:t>Prowadzą działalność zgodną z celami partnerstwa i celami projektu.</w:t>
      </w:r>
    </w:p>
    <w:p w14:paraId="4D8584AA" w14:textId="77777777" w:rsidR="00F97EBE" w:rsidRDefault="00BB7C41">
      <w:pPr>
        <w:pStyle w:val="Bezodstpw"/>
        <w:numPr>
          <w:ilvl w:val="0"/>
          <w:numId w:val="4"/>
        </w:numPr>
        <w:spacing w:before="120" w:after="120"/>
        <w:rPr>
          <w:rFonts w:eastAsia="Times New Roman" w:cstheme="minorHAnsi"/>
          <w:lang w:eastAsia="pl-PL"/>
        </w:rPr>
      </w:pPr>
      <w:r>
        <w:rPr>
          <w:rFonts w:eastAsia="Times New Roman" w:cstheme="minorHAnsi"/>
          <w:lang w:eastAsia="pl-PL"/>
        </w:rPr>
        <w:t>Nie zalegają z opłacaniem składek na ubezpieczenia społeczne i zdrowotne, podatków oraz innych należności na rzecz Skarbu Państwa.</w:t>
      </w:r>
    </w:p>
    <w:p w14:paraId="163F4354" w14:textId="77777777" w:rsidR="00F97EBE" w:rsidRDefault="00BB7C41">
      <w:pPr>
        <w:pStyle w:val="Bezodstpw"/>
        <w:numPr>
          <w:ilvl w:val="0"/>
          <w:numId w:val="4"/>
        </w:numPr>
        <w:spacing w:before="120" w:after="120"/>
        <w:rPr>
          <w:rFonts w:eastAsia="Times New Roman" w:cstheme="minorHAnsi"/>
          <w:lang w:eastAsia="pl-PL"/>
        </w:rPr>
      </w:pPr>
      <w:r>
        <w:rPr>
          <w:rFonts w:eastAsia="Times New Roman" w:cstheme="minorHAnsi"/>
          <w:lang w:eastAsia="pl-PL"/>
        </w:rPr>
        <w:t>Nie są wykluczeni z możliwości otrzymywania dofinansowania na podstawie odrębnych przepisów.</w:t>
      </w:r>
    </w:p>
    <w:p w14:paraId="1406B1A1" w14:textId="31EEE639" w:rsidR="00F97EBE" w:rsidRDefault="00BB7C41">
      <w:pPr>
        <w:pStyle w:val="Bezodstpw"/>
        <w:numPr>
          <w:ilvl w:val="0"/>
          <w:numId w:val="4"/>
        </w:numPr>
        <w:spacing w:before="120" w:after="120"/>
        <w:rPr>
          <w:rFonts w:eastAsia="Times New Roman" w:cstheme="minorHAnsi"/>
          <w:lang w:eastAsia="pl-PL"/>
        </w:rPr>
      </w:pPr>
      <w:r>
        <w:rPr>
          <w:rFonts w:eastAsia="Times New Roman" w:cstheme="minorHAnsi"/>
          <w:lang w:eastAsia="pl-PL"/>
        </w:rPr>
        <w:t>Nie znajdują się w trakcie postępowania układowego, likwidacyjnego lub upadłościowego, nie utracili osobowości prawnej, nie zawiesili działalności gospodarczej, nie podlega</w:t>
      </w:r>
      <w:r w:rsidR="00A73623">
        <w:rPr>
          <w:rFonts w:eastAsia="Times New Roman" w:cstheme="minorHAnsi"/>
          <w:lang w:eastAsia="pl-PL"/>
        </w:rPr>
        <w:t>ją</w:t>
      </w:r>
      <w:r>
        <w:rPr>
          <w:rFonts w:eastAsia="Times New Roman" w:cstheme="minorHAnsi"/>
          <w:lang w:eastAsia="pl-PL"/>
        </w:rPr>
        <w:t xml:space="preserve"> postępowaniu sądowemu w tym zakresie ani nie znajduje się w podobnej sytuacji wynikającej z procedury przewidzianej w ustawodawstwie krajowym. </w:t>
      </w:r>
    </w:p>
    <w:p w14:paraId="5FD9253C" w14:textId="77777777" w:rsidR="00F97EBE" w:rsidRDefault="00BB7C41">
      <w:pPr>
        <w:pStyle w:val="Bezodstpw"/>
        <w:numPr>
          <w:ilvl w:val="0"/>
          <w:numId w:val="4"/>
        </w:numPr>
        <w:spacing w:before="120" w:after="120"/>
        <w:rPr>
          <w:rFonts w:eastAsia="Times New Roman" w:cstheme="minorHAnsi"/>
          <w:color w:val="00B050"/>
          <w:lang w:eastAsia="pl-PL"/>
        </w:rPr>
      </w:pPr>
      <w:r>
        <w:rPr>
          <w:rFonts w:eastAsia="Times New Roman" w:cstheme="minorHAnsi"/>
          <w:color w:val="000000" w:themeColor="text1"/>
          <w:lang w:eastAsia="pl-PL"/>
        </w:rPr>
        <w:t>Posiadają przynajmniej 10 – letnie doświadczenie w funkcjonowaniu w branżach automatyki, ICT lub technologii produkcji i recykli</w:t>
      </w:r>
      <w:r>
        <w:rPr>
          <w:rFonts w:eastAsia="Times New Roman" w:cstheme="minorHAnsi"/>
          <w:lang w:eastAsia="pl-PL"/>
        </w:rPr>
        <w:t>ngu, oraz wykazują praktyczne wykorzystanie nowoczesnych technologii we wskazanym powyżej obszarach</w:t>
      </w:r>
      <w:r>
        <w:rPr>
          <w:rFonts w:eastAsia="Times New Roman" w:cstheme="minorHAnsi"/>
          <w:color w:val="00B050"/>
          <w:lang w:eastAsia="pl-PL"/>
        </w:rPr>
        <w:t>.</w:t>
      </w:r>
    </w:p>
    <w:p w14:paraId="28764E08" w14:textId="180A437C" w:rsidR="00F97EBE" w:rsidRDefault="00BB7C41">
      <w:pPr>
        <w:pStyle w:val="Bezodstpw"/>
        <w:numPr>
          <w:ilvl w:val="0"/>
          <w:numId w:val="4"/>
        </w:numPr>
        <w:spacing w:before="120" w:after="120"/>
        <w:rPr>
          <w:rFonts w:eastAsia="Times New Roman" w:cstheme="minorHAnsi"/>
          <w:lang w:eastAsia="pl-PL"/>
        </w:rPr>
      </w:pPr>
      <w:r>
        <w:rPr>
          <w:rFonts w:eastAsia="Times New Roman" w:cstheme="minorHAnsi"/>
          <w:lang w:eastAsia="pl-PL"/>
        </w:rPr>
        <w:lastRenderedPageBreak/>
        <w:t>Partnerzy zadeklarują współprac</w:t>
      </w:r>
      <w:r w:rsidR="00737B13">
        <w:rPr>
          <w:rFonts w:eastAsia="Times New Roman" w:cstheme="minorHAnsi"/>
          <w:lang w:eastAsia="pl-PL"/>
        </w:rPr>
        <w:t>ę</w:t>
      </w:r>
      <w:r>
        <w:rPr>
          <w:rFonts w:eastAsia="Times New Roman" w:cstheme="minorHAnsi"/>
          <w:lang w:eastAsia="pl-PL"/>
        </w:rPr>
        <w:t xml:space="preserve"> w zakresie: </w:t>
      </w:r>
    </w:p>
    <w:p w14:paraId="5D9C5D93" w14:textId="77777777" w:rsidR="00F97EBE" w:rsidRDefault="00BB7C41">
      <w:pPr>
        <w:pStyle w:val="NCBRnormalnywcicie"/>
        <w:numPr>
          <w:ilvl w:val="0"/>
          <w:numId w:val="14"/>
        </w:numPr>
        <w:spacing w:before="120"/>
        <w:rPr>
          <w:rFonts w:asciiTheme="minorHAnsi" w:hAnsiTheme="minorHAnsi" w:cstheme="minorHAnsi"/>
          <w:color w:val="auto"/>
        </w:rPr>
      </w:pPr>
      <w:r>
        <w:rPr>
          <w:rFonts w:asciiTheme="minorHAnsi" w:hAnsiTheme="minorHAnsi" w:cstheme="minorHAnsi"/>
          <w:color w:val="auto"/>
        </w:rPr>
        <w:t>w</w:t>
      </w:r>
      <w:r>
        <w:rPr>
          <w:rFonts w:asciiTheme="minorHAnsi" w:hAnsiTheme="minorHAnsi" w:cstheme="minorHAnsi"/>
          <w14:textFill>
            <w14:solidFill>
              <w14:srgbClr w14:val="000000">
                <w14:lumMod w14:val="75000"/>
              </w14:srgbClr>
            </w14:solidFill>
          </w14:textFill>
        </w:rPr>
        <w:t>sparcia w</w:t>
      </w:r>
      <w:r>
        <w:rPr>
          <w:rFonts w:asciiTheme="minorHAnsi" w:hAnsiTheme="minorHAnsi" w:cstheme="minorHAnsi"/>
          <w:color w:val="FF0000"/>
        </w:rPr>
        <w:t xml:space="preserve"> </w:t>
      </w:r>
      <w:r>
        <w:rPr>
          <w:rFonts w:asciiTheme="minorHAnsi" w:hAnsiTheme="minorHAnsi" w:cstheme="minorHAnsi"/>
          <w:color w:val="auto"/>
        </w:rPr>
        <w:t>modyfikacji programów kształcenia na istniejących kierunkach :</w:t>
      </w:r>
    </w:p>
    <w:p w14:paraId="52BEB3FB" w14:textId="77777777" w:rsidR="00F97EBE" w:rsidRDefault="00BB7C41">
      <w:pPr>
        <w:pStyle w:val="NCBRnormalnywcicie"/>
        <w:spacing w:before="120"/>
        <w:ind w:left="1080" w:firstLine="0"/>
        <w:rPr>
          <w:color w:val="auto"/>
        </w:rPr>
      </w:pPr>
      <w:r>
        <w:rPr>
          <w:rFonts w:asciiTheme="minorHAnsi" w:hAnsiTheme="minorHAnsi" w:cstheme="minorHAnsi"/>
          <w:color w:val="auto"/>
        </w:rPr>
        <w:t xml:space="preserve">(1) Automatyka, robotyka i inżynieria elektryczna z obszaru Technologii cyfrowych oraz Czystych i </w:t>
      </w:r>
      <w:proofErr w:type="spellStart"/>
      <w:r>
        <w:rPr>
          <w:rFonts w:asciiTheme="minorHAnsi" w:hAnsiTheme="minorHAnsi" w:cstheme="minorHAnsi"/>
          <w:color w:val="auto"/>
        </w:rPr>
        <w:t>zasobooszczędnych</w:t>
      </w:r>
      <w:proofErr w:type="spellEnd"/>
      <w:r>
        <w:rPr>
          <w:rFonts w:asciiTheme="minorHAnsi" w:hAnsiTheme="minorHAnsi" w:cstheme="minorHAnsi"/>
          <w:color w:val="auto"/>
        </w:rPr>
        <w:t xml:space="preserve"> technologii;  </w:t>
      </w:r>
    </w:p>
    <w:p w14:paraId="790B8D61" w14:textId="77777777" w:rsidR="00F97EBE" w:rsidRDefault="00BB7C41">
      <w:pPr>
        <w:pStyle w:val="NCBRnormalnywcicie"/>
        <w:spacing w:before="120"/>
        <w:ind w:left="1080" w:firstLine="0"/>
        <w:rPr>
          <w:color w:val="auto"/>
        </w:rPr>
      </w:pPr>
      <w:r>
        <w:rPr>
          <w:rFonts w:asciiTheme="minorHAnsi" w:hAnsiTheme="minorHAnsi" w:cstheme="minorHAnsi"/>
          <w:color w:val="auto"/>
        </w:rPr>
        <w:t xml:space="preserve">(2) Informatyka z obszaru Technologii cyfrowych; </w:t>
      </w:r>
    </w:p>
    <w:p w14:paraId="4B3BC357" w14:textId="77777777" w:rsidR="00F97EBE" w:rsidRDefault="00BB7C41">
      <w:pPr>
        <w:pStyle w:val="NCBRnormalnywcicie"/>
        <w:spacing w:before="120"/>
        <w:ind w:left="1080" w:firstLine="0"/>
        <w:rPr>
          <w:color w:val="auto"/>
        </w:rPr>
      </w:pPr>
      <w:r>
        <w:rPr>
          <w:rFonts w:asciiTheme="minorHAnsi" w:hAnsiTheme="minorHAnsi" w:cstheme="minorHAnsi"/>
          <w:color w:val="auto"/>
        </w:rPr>
        <w:t xml:space="preserve">(3) Technologia i zarządzanie produkcją z obszaru Czystych i </w:t>
      </w:r>
      <w:proofErr w:type="spellStart"/>
      <w:r>
        <w:rPr>
          <w:rFonts w:asciiTheme="minorHAnsi" w:hAnsiTheme="minorHAnsi" w:cstheme="minorHAnsi"/>
          <w:color w:val="auto"/>
        </w:rPr>
        <w:t>zasobooszczędnych</w:t>
      </w:r>
      <w:proofErr w:type="spellEnd"/>
      <w:r>
        <w:rPr>
          <w:rFonts w:asciiTheme="minorHAnsi" w:hAnsiTheme="minorHAnsi" w:cstheme="minorHAnsi"/>
          <w:color w:val="auto"/>
        </w:rPr>
        <w:t xml:space="preserve"> technologii,</w:t>
      </w:r>
    </w:p>
    <w:p w14:paraId="4EC1B93F" w14:textId="35987161" w:rsidR="00F97EBE" w:rsidRDefault="00BB7C41">
      <w:pPr>
        <w:pStyle w:val="NCBRnormalnywcicie"/>
        <w:numPr>
          <w:ilvl w:val="0"/>
          <w:numId w:val="14"/>
        </w:numPr>
        <w:spacing w:before="120"/>
        <w:rPr>
          <w:rFonts w:asciiTheme="minorHAnsi" w:hAnsiTheme="minorHAnsi" w:cstheme="minorHAnsi"/>
          <w:color w:val="auto"/>
        </w:rPr>
      </w:pPr>
      <w:r>
        <w:rPr>
          <w:rFonts w:asciiTheme="minorHAnsi" w:hAnsiTheme="minorHAnsi" w:cstheme="minorHAnsi"/>
          <w:color w:val="auto"/>
        </w:rPr>
        <w:t xml:space="preserve">wsparcia w realizacji dodatkowych elementów kształcenia, w tym elementów praktycznych, podnoszących kompetencje studentów i studentek, w tym staży, kursów, szkoleń, wizyt studyjnych, zajęć dodatkowych prowadzonych przez praktyków działających zawodowo w obszarach </w:t>
      </w:r>
      <w:r>
        <w:rPr>
          <w:rFonts w:ascii="Calibri" w:eastAsia="Times New Roman" w:hAnsi="Calibri" w:cstheme="minorHAnsi"/>
          <w:color w:val="auto"/>
          <w:lang w:eastAsia="pl-PL"/>
        </w:rPr>
        <w:t>automatyki, ICT lub technologii produkcji i recyklingu</w:t>
      </w:r>
      <w:r w:rsidR="00737B13">
        <w:rPr>
          <w:rFonts w:asciiTheme="minorHAnsi" w:hAnsiTheme="minorHAnsi" w:cstheme="minorHAnsi"/>
          <w:color w:val="auto"/>
        </w:rPr>
        <w:t>,</w:t>
      </w:r>
      <w:r>
        <w:rPr>
          <w:rFonts w:asciiTheme="minorHAnsi" w:hAnsiTheme="minorHAnsi" w:cstheme="minorHAnsi"/>
          <w:color w:val="FF0000"/>
        </w:rPr>
        <w:t xml:space="preserve"> </w:t>
      </w:r>
      <w:r>
        <w:rPr>
          <w:rFonts w:asciiTheme="minorHAnsi" w:hAnsiTheme="minorHAnsi" w:cstheme="minorHAnsi"/>
          <w:color w:val="auto"/>
        </w:rPr>
        <w:t>zajęć wyrównawczych, ewentualnie innych;</w:t>
      </w:r>
    </w:p>
    <w:p w14:paraId="78EC7B27" w14:textId="77777777" w:rsidR="00F97EBE" w:rsidRDefault="00BB7C41">
      <w:pPr>
        <w:pStyle w:val="Default"/>
        <w:numPr>
          <w:ilvl w:val="0"/>
          <w:numId w:val="14"/>
        </w:numPr>
        <w:rPr>
          <w:rFonts w:asciiTheme="minorHAnsi" w:eastAsia="Times New Roman" w:hAnsiTheme="minorHAnsi" w:cstheme="minorHAnsi"/>
          <w:sz w:val="22"/>
          <w:szCs w:val="22"/>
          <w:lang w:eastAsia="pl-PL"/>
        </w:rPr>
      </w:pPr>
      <w:r>
        <w:rPr>
          <w:rFonts w:cstheme="minorHAnsi"/>
          <w:color w:val="auto"/>
          <w:sz w:val="22"/>
          <w:szCs w:val="22"/>
        </w:rPr>
        <w:t>wsparcia w podnoszeniu kompetencji lub uzyskiwaniu dodatkowych kwalifikacji kadry realizującej dydaktykę na kierunkach, na których zostanie dokonana modyfikacja programów kształcenia</w:t>
      </w:r>
      <w:r>
        <w:rPr>
          <w:rFonts w:cstheme="minorHAnsi"/>
          <w:color w:val="00B050"/>
          <w:sz w:val="22"/>
          <w:szCs w:val="22"/>
        </w:rPr>
        <w:t>:</w:t>
      </w:r>
      <w:r>
        <w:rPr>
          <w:rFonts w:cstheme="minorHAnsi"/>
          <w:color w:val="auto"/>
          <w:sz w:val="22"/>
          <w:szCs w:val="22"/>
        </w:rPr>
        <w:t xml:space="preserve"> tj.: (1) Automatyka, robotyka i inżynieria elektryczna, (2) Informatyka, (3) Technologia i zarządzanie produkcją, i które to kierunki zostaną objęte wsparciem w projekcie; </w:t>
      </w:r>
      <w:r>
        <w:rPr>
          <w:rFonts w:cstheme="minorHAnsi"/>
          <w:color w:val="FF0000"/>
          <w:sz w:val="22"/>
          <w:szCs w:val="22"/>
        </w:rPr>
        <w:t xml:space="preserve"> </w:t>
      </w:r>
      <w:r>
        <w:rPr>
          <w:rFonts w:cstheme="minorHAnsi"/>
          <w:color w:val="auto"/>
          <w:sz w:val="22"/>
          <w:szCs w:val="22"/>
        </w:rPr>
        <w:t xml:space="preserve">w szczególności w podnoszeniu kompetencji w kontekście aspektów merytorycznych dotyczących obszarów </w:t>
      </w:r>
      <w:r>
        <w:rPr>
          <w:rFonts w:eastAsia="Times New Roman" w:cstheme="minorHAnsi"/>
          <w:color w:val="auto"/>
          <w:sz w:val="22"/>
          <w:szCs w:val="22"/>
          <w:lang w:eastAsia="pl-PL"/>
        </w:rPr>
        <w:t>automatyki, ICT lub technologii produkcji i recyklingu</w:t>
      </w:r>
      <w:r>
        <w:rPr>
          <w:rFonts w:cstheme="minorHAnsi"/>
          <w:color w:val="auto"/>
          <w:sz w:val="22"/>
          <w:szCs w:val="22"/>
        </w:rPr>
        <w:t xml:space="preserve">, </w:t>
      </w:r>
      <w:r>
        <w:rPr>
          <w:rFonts w:cstheme="minorHAnsi"/>
          <w:color w:val="000000" w:themeColor="text1"/>
          <w:sz w:val="22"/>
          <w:szCs w:val="22"/>
        </w:rPr>
        <w:t>poprzez m.in. udział w kursach, szkoleniach, stażach, wizytach studyjnych (krajowych i międzynarodowych) i innych formach wymiany wiedzy i doświadczenia z praktykami działającymi zawodowo w  powyżej wskazanych obszarach;</w:t>
      </w:r>
    </w:p>
    <w:p w14:paraId="233D7C22" w14:textId="77777777" w:rsidR="00F97EBE" w:rsidRDefault="00F97EBE">
      <w:pPr>
        <w:pStyle w:val="Bezodstpw"/>
        <w:spacing w:before="120" w:after="120"/>
        <w:rPr>
          <w:rFonts w:eastAsia="Times New Roman" w:cstheme="minorHAnsi"/>
          <w:color w:val="FF0000"/>
          <w:lang w:eastAsia="pl-PL"/>
        </w:rPr>
      </w:pPr>
    </w:p>
    <w:p w14:paraId="08CFECA9" w14:textId="62EDBDA5" w:rsidR="00F97EBE" w:rsidRPr="00AE6232" w:rsidRDefault="00BB7C41">
      <w:pPr>
        <w:pStyle w:val="Bezodstpw"/>
        <w:numPr>
          <w:ilvl w:val="0"/>
          <w:numId w:val="3"/>
        </w:numPr>
        <w:spacing w:before="120" w:after="120"/>
        <w:rPr>
          <w:rFonts w:eastAsia="Times New Roman" w:cstheme="minorHAnsi"/>
          <w:b/>
          <w:bCs/>
          <w:color w:val="000000" w:themeColor="text1"/>
          <w:lang w:eastAsia="pl-PL"/>
        </w:rPr>
      </w:pPr>
      <w:r w:rsidRPr="00AE6232">
        <w:rPr>
          <w:rFonts w:eastAsia="Times New Roman" w:cstheme="minorHAnsi"/>
          <w:b/>
          <w:bCs/>
          <w:color w:val="000000" w:themeColor="text1"/>
          <w:lang w:eastAsia="pl-PL"/>
        </w:rPr>
        <w:t>Kryteria oceny ofert</w:t>
      </w:r>
      <w:r w:rsidR="00AE6232" w:rsidRPr="00AE6232">
        <w:rPr>
          <w:rFonts w:eastAsia="Times New Roman" w:cstheme="minorHAnsi"/>
          <w:b/>
          <w:bCs/>
          <w:color w:val="000000" w:themeColor="text1"/>
          <w:lang w:eastAsia="pl-PL"/>
        </w:rPr>
        <w:t>.</w:t>
      </w:r>
    </w:p>
    <w:p w14:paraId="2BB6CDBD" w14:textId="77777777" w:rsidR="00F97EBE" w:rsidRPr="00AE6232" w:rsidRDefault="00BB7C41">
      <w:pPr>
        <w:pStyle w:val="Bezodstpw"/>
        <w:numPr>
          <w:ilvl w:val="0"/>
          <w:numId w:val="5"/>
        </w:numPr>
        <w:spacing w:before="120"/>
        <w:rPr>
          <w:rFonts w:eastAsia="Times New Roman" w:cstheme="minorHAnsi"/>
          <w:color w:val="000000" w:themeColor="text1"/>
          <w:lang w:eastAsia="pl-PL"/>
        </w:rPr>
      </w:pPr>
      <w:r w:rsidRPr="00AE6232">
        <w:rPr>
          <w:rFonts w:eastAsia="Times New Roman" w:cstheme="minorHAnsi"/>
          <w:color w:val="000000" w:themeColor="text1"/>
          <w:lang w:eastAsia="pl-PL"/>
        </w:rPr>
        <w:t>Doświadczenie w branży automatyki, ICT lub technologii produkcji i recyklingu:</w:t>
      </w:r>
    </w:p>
    <w:p w14:paraId="1EFF83EF" w14:textId="77777777" w:rsidR="00F97EBE" w:rsidRPr="00AE6232" w:rsidRDefault="00BB7C41">
      <w:pPr>
        <w:pStyle w:val="Bezodstpw"/>
        <w:numPr>
          <w:ilvl w:val="4"/>
          <w:numId w:val="4"/>
        </w:numPr>
        <w:spacing w:before="120"/>
        <w:rPr>
          <w:rFonts w:eastAsia="Times New Roman" w:cstheme="minorHAnsi"/>
          <w:color w:val="000000" w:themeColor="text1"/>
          <w:lang w:eastAsia="pl-PL"/>
        </w:rPr>
      </w:pPr>
      <w:r w:rsidRPr="00AE6232">
        <w:rPr>
          <w:rFonts w:eastAsia="Times New Roman" w:cstheme="minorHAnsi"/>
          <w:color w:val="000000" w:themeColor="text1"/>
          <w:lang w:eastAsia="pl-PL"/>
        </w:rPr>
        <w:t>od 10 do 15 lat – 10 pkt</w:t>
      </w:r>
    </w:p>
    <w:p w14:paraId="4B752B1C" w14:textId="77777777" w:rsidR="00F97EBE" w:rsidRPr="00AE6232" w:rsidRDefault="00BB7C41">
      <w:pPr>
        <w:pStyle w:val="Bezodstpw"/>
        <w:numPr>
          <w:ilvl w:val="4"/>
          <w:numId w:val="4"/>
        </w:numPr>
        <w:spacing w:before="120"/>
        <w:rPr>
          <w:rFonts w:eastAsia="Times New Roman" w:cstheme="minorHAnsi"/>
          <w:color w:val="000000" w:themeColor="text1"/>
          <w:lang w:eastAsia="pl-PL"/>
        </w:rPr>
      </w:pPr>
      <w:r w:rsidRPr="00AE6232">
        <w:rPr>
          <w:rFonts w:eastAsia="Times New Roman" w:cstheme="minorHAnsi"/>
          <w:color w:val="000000" w:themeColor="text1"/>
          <w:lang w:eastAsia="pl-PL"/>
        </w:rPr>
        <w:t>powyżej 15 lat -  15 pkt</w:t>
      </w:r>
    </w:p>
    <w:p w14:paraId="6903AF5B" w14:textId="77777777" w:rsidR="00F97EBE" w:rsidRPr="00AE6232" w:rsidRDefault="00BB7C41">
      <w:pPr>
        <w:pStyle w:val="Bezodstpw"/>
        <w:numPr>
          <w:ilvl w:val="0"/>
          <w:numId w:val="5"/>
        </w:numPr>
        <w:spacing w:before="120"/>
        <w:rPr>
          <w:rFonts w:eastAsia="Times New Roman" w:cstheme="minorHAnsi"/>
          <w:color w:val="000000" w:themeColor="text1"/>
          <w:lang w:eastAsia="pl-PL"/>
        </w:rPr>
      </w:pPr>
      <w:r w:rsidRPr="00AE6232">
        <w:rPr>
          <w:rFonts w:cstheme="minorHAnsi"/>
          <w:color w:val="000000" w:themeColor="text1"/>
        </w:rPr>
        <w:t>Posiadanie odpowiedniego zaplecza technicznego (w tym laboratoriów, urządzeń, specjalistycznych sprzętów, innych) niezbędnego do realizacji projektu: 0-20 pkt,</w:t>
      </w:r>
    </w:p>
    <w:p w14:paraId="4D6B1C43" w14:textId="77777777" w:rsidR="00F97EBE" w:rsidRPr="00AE6232" w:rsidRDefault="00BB7C41">
      <w:pPr>
        <w:pStyle w:val="Bezodstpw"/>
        <w:numPr>
          <w:ilvl w:val="0"/>
          <w:numId w:val="5"/>
        </w:numPr>
        <w:spacing w:before="120"/>
        <w:rPr>
          <w:rFonts w:eastAsia="Times New Roman" w:cstheme="minorHAnsi"/>
          <w:color w:val="000000" w:themeColor="text1"/>
          <w:lang w:eastAsia="pl-PL"/>
        </w:rPr>
      </w:pPr>
      <w:r w:rsidRPr="00AE6232">
        <w:rPr>
          <w:rFonts w:cstheme="minorHAnsi"/>
          <w:color w:val="000000" w:themeColor="text1"/>
        </w:rPr>
        <w:t>Dysponowanie potencjałem ludzkim i organizacyjnym umożliwiającym wsparcie w prawidłowej realizacji projektu, a w szczególności zespołem o odpowiednich kwalifikacjach, kompetencjach i doświadczeniu zawodowym oraz zapleczem organizacyjnym zapewniającym sprawne wsparcie w realizacji zadań projektowych: 0-10 pkt,</w:t>
      </w:r>
    </w:p>
    <w:p w14:paraId="212806E4" w14:textId="77777777" w:rsidR="00F97EBE" w:rsidRPr="00AE6232" w:rsidRDefault="00BB7C41">
      <w:pPr>
        <w:pStyle w:val="Bezodstpw"/>
        <w:numPr>
          <w:ilvl w:val="0"/>
          <w:numId w:val="5"/>
        </w:numPr>
        <w:spacing w:before="120"/>
        <w:rPr>
          <w:rFonts w:eastAsia="Times New Roman" w:cstheme="minorHAnsi"/>
          <w:color w:val="000000" w:themeColor="text1"/>
          <w:lang w:eastAsia="pl-PL"/>
        </w:rPr>
      </w:pPr>
      <w:r w:rsidRPr="00AE6232">
        <w:rPr>
          <w:rFonts w:cstheme="minorHAnsi"/>
          <w:color w:val="000000" w:themeColor="text1"/>
        </w:rPr>
        <w:t xml:space="preserve">Maksymalna liczba punktów możliwych do uzyskania wynosi 45 punktów. </w:t>
      </w:r>
    </w:p>
    <w:p w14:paraId="179D166C" w14:textId="77777777" w:rsidR="00F97EBE" w:rsidRPr="00AE6232" w:rsidRDefault="00BB7C41">
      <w:pPr>
        <w:pStyle w:val="Bezodstpw"/>
        <w:numPr>
          <w:ilvl w:val="0"/>
          <w:numId w:val="5"/>
        </w:numPr>
        <w:spacing w:before="120"/>
        <w:rPr>
          <w:rFonts w:eastAsia="Times New Roman" w:cstheme="minorHAnsi"/>
          <w:color w:val="000000" w:themeColor="text1"/>
          <w:lang w:eastAsia="pl-PL"/>
        </w:rPr>
      </w:pPr>
      <w:r w:rsidRPr="00AE6232">
        <w:rPr>
          <w:rFonts w:cstheme="minorHAnsi"/>
          <w:color w:val="000000" w:themeColor="text1"/>
        </w:rPr>
        <w:t>AT zastrzega sobie możliwość zadawania dodatkowych pytań w celu udzielania wyjaśnień przez oferenta. Nie udzielenie wyjaśnień podczas wyboru oferty może skutkować odrzuceniem oferty.</w:t>
      </w:r>
    </w:p>
    <w:p w14:paraId="0071EC8E" w14:textId="77777777" w:rsidR="00F97EBE" w:rsidRDefault="00F97EBE">
      <w:pPr>
        <w:tabs>
          <w:tab w:val="center" w:pos="583"/>
          <w:tab w:val="center" w:pos="2873"/>
        </w:tabs>
        <w:spacing w:after="104" w:line="240" w:lineRule="auto"/>
        <w:rPr>
          <w:rFonts w:cstheme="minorHAnsi"/>
          <w:color w:val="FF0000"/>
        </w:rPr>
      </w:pPr>
    </w:p>
    <w:p w14:paraId="2D8CA35B" w14:textId="5667328A" w:rsidR="00F97EBE" w:rsidRDefault="00BB7C41">
      <w:pPr>
        <w:tabs>
          <w:tab w:val="center" w:pos="583"/>
          <w:tab w:val="center" w:pos="2873"/>
        </w:tabs>
        <w:spacing w:after="104" w:line="240" w:lineRule="auto"/>
        <w:rPr>
          <w:rFonts w:cstheme="minorHAnsi"/>
        </w:rPr>
      </w:pPr>
      <w:r>
        <w:rPr>
          <w:rFonts w:cstheme="minorHAnsi"/>
        </w:rPr>
        <w:t>Ocena złożonych ofert prowadzona będzie zgodnie z art. 39 ustawy z dnia 28 kwietnia 2022 r. o zasadach realizacji zadań finansowanych ze środków europejskich w perspektywie finansowej 2021–2027 (Dz. U. 2022 poz. 1079 z późn.zm.), z zachowaniem zasady przejrzystości i równego traktowania podmiotów.</w:t>
      </w:r>
    </w:p>
    <w:p w14:paraId="500AC993" w14:textId="48E3E664" w:rsidR="00BD07D3" w:rsidRDefault="00BD07D3">
      <w:pPr>
        <w:tabs>
          <w:tab w:val="center" w:pos="583"/>
          <w:tab w:val="center" w:pos="2873"/>
        </w:tabs>
        <w:spacing w:after="104" w:line="240" w:lineRule="auto"/>
        <w:rPr>
          <w:rFonts w:cstheme="minorHAnsi"/>
        </w:rPr>
      </w:pPr>
    </w:p>
    <w:p w14:paraId="6A0A69EF" w14:textId="77777777" w:rsidR="00BD07D3" w:rsidRDefault="00BD07D3">
      <w:pPr>
        <w:tabs>
          <w:tab w:val="center" w:pos="583"/>
          <w:tab w:val="center" w:pos="2873"/>
        </w:tabs>
        <w:spacing w:after="104" w:line="240" w:lineRule="auto"/>
        <w:rPr>
          <w:rFonts w:cstheme="minorHAnsi"/>
        </w:rPr>
      </w:pPr>
    </w:p>
    <w:p w14:paraId="0763B481" w14:textId="77777777" w:rsidR="00F97EBE" w:rsidRDefault="00F97EBE">
      <w:pPr>
        <w:tabs>
          <w:tab w:val="center" w:pos="583"/>
          <w:tab w:val="center" w:pos="2873"/>
        </w:tabs>
        <w:spacing w:after="104" w:line="240" w:lineRule="auto"/>
        <w:rPr>
          <w:rFonts w:cstheme="minorHAnsi"/>
          <w:color w:val="FF0000"/>
        </w:rPr>
      </w:pPr>
    </w:p>
    <w:p w14:paraId="17105AB2" w14:textId="77777777" w:rsidR="00F97EBE" w:rsidRDefault="00BB7C41">
      <w:pPr>
        <w:tabs>
          <w:tab w:val="center" w:pos="583"/>
          <w:tab w:val="center" w:pos="2873"/>
        </w:tabs>
        <w:spacing w:after="104" w:line="240" w:lineRule="auto"/>
        <w:ind w:left="363"/>
        <w:rPr>
          <w:rFonts w:cstheme="minorHAnsi"/>
          <w:b/>
          <w:bCs/>
        </w:rPr>
      </w:pPr>
      <w:r>
        <w:rPr>
          <w:rFonts w:cstheme="minorHAnsi"/>
          <w:b/>
          <w:bCs/>
        </w:rPr>
        <w:lastRenderedPageBreak/>
        <w:t xml:space="preserve">V. </w:t>
      </w:r>
      <w:r>
        <w:rPr>
          <w:rFonts w:cstheme="minorHAnsi"/>
          <w:b/>
          <w:bCs/>
        </w:rPr>
        <w:tab/>
        <w:t>Sposób przygotowania i złożenia oferty.</w:t>
      </w:r>
    </w:p>
    <w:p w14:paraId="697425BB" w14:textId="77777777" w:rsidR="00F97EBE" w:rsidRDefault="00BB7C41">
      <w:pPr>
        <w:spacing w:after="154" w:line="240" w:lineRule="auto"/>
        <w:ind w:left="691"/>
        <w:rPr>
          <w:rFonts w:cstheme="minorHAnsi"/>
          <w:color w:val="000000" w:themeColor="text1"/>
        </w:rPr>
      </w:pPr>
      <w:r>
        <w:rPr>
          <w:rFonts w:cstheme="minorHAnsi"/>
          <w:color w:val="000000" w:themeColor="text1"/>
        </w:rPr>
        <w:t>Partner składający ofertę w niniejszym naborze jest zobowiązany złożyć następujące dokumenty (w formie oryginału lub kopii poświadczonej „za zgodność z oryginałem”):</w:t>
      </w:r>
    </w:p>
    <w:p w14:paraId="27D86EEF" w14:textId="77777777" w:rsidR="00F97EBE" w:rsidRDefault="00BB7C41">
      <w:pPr>
        <w:numPr>
          <w:ilvl w:val="2"/>
          <w:numId w:val="6"/>
        </w:numPr>
        <w:spacing w:after="0" w:line="240" w:lineRule="auto"/>
        <w:ind w:left="694" w:hanging="331"/>
        <w:rPr>
          <w:rFonts w:cstheme="minorHAnsi"/>
          <w:color w:val="000000" w:themeColor="text1"/>
        </w:rPr>
      </w:pPr>
      <w:r>
        <w:rPr>
          <w:rFonts w:cstheme="minorHAnsi"/>
          <w:color w:val="000000" w:themeColor="text1"/>
        </w:rPr>
        <w:t xml:space="preserve">Wypełniony „Formularz oferty”, sporządzony zgodnie ze wzorem stanowiącym załącznik nr 1 do </w:t>
      </w:r>
      <w:proofErr w:type="spellStart"/>
      <w:r>
        <w:rPr>
          <w:rFonts w:cstheme="minorHAnsi"/>
          <w:color w:val="000000" w:themeColor="text1"/>
        </w:rPr>
        <w:t>ogło</w:t>
      </w:r>
      <w:proofErr w:type="spellEnd"/>
      <w:r>
        <w:rPr>
          <w:noProof/>
        </w:rPr>
        <w:drawing>
          <wp:inline distT="0" distB="0" distL="0" distR="0" wp14:anchorId="38994E7C" wp14:editId="6C64C64F">
            <wp:extent cx="4445" cy="4445"/>
            <wp:effectExtent l="0" t="0" r="0" b="0"/>
            <wp:docPr id="1" name="Picture 1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235"/>
                    <pic:cNvPicPr>
                      <a:picLocks noChangeAspect="1" noChangeArrowheads="1"/>
                    </pic:cNvPicPr>
                  </pic:nvPicPr>
                  <pic:blipFill>
                    <a:blip r:embed="rId8"/>
                    <a:stretch>
                      <a:fillRect/>
                    </a:stretch>
                  </pic:blipFill>
                  <pic:spPr bwMode="auto">
                    <a:xfrm>
                      <a:off x="0" y="0"/>
                      <a:ext cx="4445" cy="4445"/>
                    </a:xfrm>
                    <a:prstGeom prst="rect">
                      <a:avLst/>
                    </a:prstGeom>
                  </pic:spPr>
                </pic:pic>
              </a:graphicData>
            </a:graphic>
          </wp:inline>
        </w:drawing>
      </w:r>
      <w:proofErr w:type="spellStart"/>
      <w:r>
        <w:rPr>
          <w:rFonts w:cstheme="minorHAnsi"/>
          <w:color w:val="000000" w:themeColor="text1"/>
        </w:rPr>
        <w:t>szenia</w:t>
      </w:r>
      <w:proofErr w:type="spellEnd"/>
      <w:r>
        <w:rPr>
          <w:rFonts w:cstheme="minorHAnsi"/>
          <w:color w:val="000000" w:themeColor="text1"/>
        </w:rPr>
        <w:t>.</w:t>
      </w:r>
    </w:p>
    <w:p w14:paraId="35248983" w14:textId="77777777" w:rsidR="00F97EBE" w:rsidRDefault="00BB7C41">
      <w:pPr>
        <w:numPr>
          <w:ilvl w:val="2"/>
          <w:numId w:val="6"/>
        </w:numPr>
        <w:spacing w:after="0" w:line="240" w:lineRule="auto"/>
        <w:ind w:left="694" w:hanging="331"/>
        <w:rPr>
          <w:rFonts w:cstheme="minorHAnsi"/>
          <w:color w:val="000000" w:themeColor="text1"/>
        </w:rPr>
      </w:pPr>
      <w:r>
        <w:rPr>
          <w:rFonts w:cstheme="minorHAnsi"/>
          <w:color w:val="000000" w:themeColor="text1"/>
        </w:rPr>
        <w:t>Aktualny odpis z właściwego rejestru (np. KRS, CEIDG) lub odpowiedni wyciąg z właściwej ewidencji, potwierdzający formę organizacyjno-prawną podmiotu, osoby uprawnione do jego reprezentowania oraz zasady reprezentacji.</w:t>
      </w:r>
    </w:p>
    <w:p w14:paraId="55BC3364" w14:textId="77777777" w:rsidR="00F97EBE" w:rsidRDefault="00BB7C41">
      <w:pPr>
        <w:numPr>
          <w:ilvl w:val="2"/>
          <w:numId w:val="6"/>
        </w:numPr>
        <w:spacing w:after="0" w:line="240" w:lineRule="auto"/>
        <w:ind w:left="773" w:right="54" w:hanging="410"/>
        <w:rPr>
          <w:rFonts w:cstheme="minorHAnsi"/>
          <w:color w:val="000000" w:themeColor="text1"/>
        </w:rPr>
      </w:pPr>
      <w:r>
        <w:rPr>
          <w:rFonts w:cstheme="minorHAnsi"/>
          <w:color w:val="000000" w:themeColor="text1"/>
        </w:rPr>
        <w:t>Aktualne zaświadczenie z właściwego oddziału ZUS lub KRUS potwierdzające, że podmiot nie zalega z opłacaniem składek na ubezpieczenie społeczne i zdrowotne.</w:t>
      </w:r>
    </w:p>
    <w:p w14:paraId="300C6423" w14:textId="77777777" w:rsidR="00F97EBE" w:rsidRDefault="00BB7C41">
      <w:pPr>
        <w:numPr>
          <w:ilvl w:val="2"/>
          <w:numId w:val="6"/>
        </w:numPr>
        <w:spacing w:after="0" w:line="240" w:lineRule="auto"/>
        <w:ind w:left="773" w:right="54" w:hanging="410"/>
        <w:rPr>
          <w:rFonts w:cstheme="minorHAnsi"/>
          <w:color w:val="000000" w:themeColor="text1"/>
        </w:rPr>
      </w:pPr>
      <w:r>
        <w:rPr>
          <w:rFonts w:cstheme="minorHAnsi"/>
          <w:color w:val="000000" w:themeColor="text1"/>
        </w:rPr>
        <w:t>Aktualne zaświadczenie z właściwego urzędu skarbowego potwierdzające, że podmiot nie zalega z opłacaniem podatków i opłat.</w:t>
      </w:r>
    </w:p>
    <w:p w14:paraId="666A6043" w14:textId="3D3119EB" w:rsidR="00F97EBE" w:rsidRDefault="00BB7C41">
      <w:pPr>
        <w:numPr>
          <w:ilvl w:val="2"/>
          <w:numId w:val="6"/>
        </w:numPr>
        <w:spacing w:after="0" w:line="240" w:lineRule="auto"/>
        <w:ind w:left="773" w:right="54" w:hanging="410"/>
        <w:rPr>
          <w:rFonts w:cstheme="minorHAnsi"/>
          <w:color w:val="000000" w:themeColor="text1"/>
        </w:rPr>
      </w:pPr>
      <w:r>
        <w:rPr>
          <w:rFonts w:cstheme="minorHAnsi"/>
          <w:color w:val="000000" w:themeColor="text1"/>
        </w:rPr>
        <w:t xml:space="preserve">Oświadczenie podmiotu składającego ofertę potwierdzające, że nie jest on wykluczony z </w:t>
      </w:r>
      <w:proofErr w:type="spellStart"/>
      <w:r>
        <w:rPr>
          <w:rFonts w:cstheme="minorHAnsi"/>
          <w:color w:val="000000" w:themeColor="text1"/>
        </w:rPr>
        <w:t>mo</w:t>
      </w:r>
      <w:r w:rsidR="00BD07D3">
        <w:rPr>
          <w:rFonts w:cstheme="minorHAnsi"/>
          <w:color w:val="000000" w:themeColor="text1"/>
        </w:rPr>
        <w:t>ż</w:t>
      </w:r>
      <w:r>
        <w:rPr>
          <w:rFonts w:cstheme="minorHAnsi"/>
          <w:color w:val="000000" w:themeColor="text1"/>
        </w:rPr>
        <w:t>liwo</w:t>
      </w:r>
      <w:proofErr w:type="spellEnd"/>
      <w:r>
        <w:rPr>
          <w:noProof/>
        </w:rPr>
        <w:drawing>
          <wp:inline distT="0" distB="0" distL="0" distR="0" wp14:anchorId="7118A7AD" wp14:editId="59E5961A">
            <wp:extent cx="4445" cy="4445"/>
            <wp:effectExtent l="0" t="0" r="0" b="0"/>
            <wp:docPr id="2" name="Picture 1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798"/>
                    <pic:cNvPicPr>
                      <a:picLocks noChangeAspect="1" noChangeArrowheads="1"/>
                    </pic:cNvPicPr>
                  </pic:nvPicPr>
                  <pic:blipFill>
                    <a:blip r:embed="rId9"/>
                    <a:stretch>
                      <a:fillRect/>
                    </a:stretch>
                  </pic:blipFill>
                  <pic:spPr bwMode="auto">
                    <a:xfrm>
                      <a:off x="0" y="0"/>
                      <a:ext cx="4445" cy="4445"/>
                    </a:xfrm>
                    <a:prstGeom prst="rect">
                      <a:avLst/>
                    </a:prstGeom>
                  </pic:spPr>
                </pic:pic>
              </a:graphicData>
            </a:graphic>
          </wp:inline>
        </w:drawing>
      </w:r>
      <w:proofErr w:type="spellStart"/>
      <w:r>
        <w:rPr>
          <w:rFonts w:cstheme="minorHAnsi"/>
          <w:color w:val="000000" w:themeColor="text1"/>
        </w:rPr>
        <w:t>ści</w:t>
      </w:r>
      <w:proofErr w:type="spellEnd"/>
      <w:r>
        <w:rPr>
          <w:rFonts w:cstheme="minorHAnsi"/>
          <w:color w:val="000000" w:themeColor="text1"/>
        </w:rPr>
        <w:t xml:space="preserve"> otrzymania dofinansowania na podstawie odrębnych przepisów</w:t>
      </w:r>
      <w:r w:rsidR="00CC0C89">
        <w:rPr>
          <w:rFonts w:cstheme="minorHAnsi"/>
          <w:color w:val="000000" w:themeColor="text1"/>
        </w:rPr>
        <w:t xml:space="preserve"> (zał. 2)</w:t>
      </w:r>
    </w:p>
    <w:p w14:paraId="19FBEA78" w14:textId="1A6A788E" w:rsidR="00F97EBE" w:rsidRDefault="00BB7C41">
      <w:pPr>
        <w:numPr>
          <w:ilvl w:val="2"/>
          <w:numId w:val="6"/>
        </w:numPr>
        <w:spacing w:after="0" w:line="240" w:lineRule="auto"/>
        <w:ind w:left="773" w:right="54" w:hanging="410"/>
        <w:rPr>
          <w:rFonts w:cstheme="minorHAnsi"/>
          <w:color w:val="000000" w:themeColor="text1"/>
        </w:rPr>
      </w:pPr>
      <w:r>
        <w:rPr>
          <w:noProof/>
        </w:rPr>
        <w:drawing>
          <wp:inline distT="0" distB="0" distL="0" distR="0" wp14:anchorId="57BC3FD5" wp14:editId="6BE9A6CB">
            <wp:extent cx="4445" cy="4445"/>
            <wp:effectExtent l="0" t="0" r="0" b="0"/>
            <wp:docPr id="3" name="Picture 1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799"/>
                    <pic:cNvPicPr>
                      <a:picLocks noChangeAspect="1" noChangeArrowheads="1"/>
                    </pic:cNvPicPr>
                  </pic:nvPicPr>
                  <pic:blipFill>
                    <a:blip r:embed="rId10"/>
                    <a:stretch>
                      <a:fillRect/>
                    </a:stretch>
                  </pic:blipFill>
                  <pic:spPr bwMode="auto">
                    <a:xfrm>
                      <a:off x="0" y="0"/>
                      <a:ext cx="4445" cy="4445"/>
                    </a:xfrm>
                    <a:prstGeom prst="rect">
                      <a:avLst/>
                    </a:prstGeom>
                  </pic:spPr>
                </pic:pic>
              </a:graphicData>
            </a:graphic>
          </wp:inline>
        </w:drawing>
      </w:r>
      <w:r>
        <w:rPr>
          <w:rFonts w:cstheme="minorHAnsi"/>
          <w:color w:val="000000" w:themeColor="text1"/>
        </w:rPr>
        <w:t>Oświadczenie podmiotu o braku wszczętego wobec niego postępowania układowego, likwidacyjne</w:t>
      </w:r>
      <w:r>
        <w:rPr>
          <w:noProof/>
        </w:rPr>
        <w:drawing>
          <wp:inline distT="0" distB="0" distL="0" distR="0" wp14:anchorId="7DB0A078" wp14:editId="7C091CFE">
            <wp:extent cx="4445" cy="4445"/>
            <wp:effectExtent l="0" t="0" r="0" b="0"/>
            <wp:docPr id="4" name="Picture 1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800"/>
                    <pic:cNvPicPr>
                      <a:picLocks noChangeAspect="1" noChangeArrowheads="1"/>
                    </pic:cNvPicPr>
                  </pic:nvPicPr>
                  <pic:blipFill>
                    <a:blip r:embed="rId11"/>
                    <a:stretch>
                      <a:fillRect/>
                    </a:stretch>
                  </pic:blipFill>
                  <pic:spPr bwMode="auto">
                    <a:xfrm>
                      <a:off x="0" y="0"/>
                      <a:ext cx="4445" cy="4445"/>
                    </a:xfrm>
                    <a:prstGeom prst="rect">
                      <a:avLst/>
                    </a:prstGeom>
                  </pic:spPr>
                </pic:pic>
              </a:graphicData>
            </a:graphic>
          </wp:inline>
        </w:drawing>
      </w:r>
      <w:r>
        <w:rPr>
          <w:rFonts w:cstheme="minorHAnsi"/>
          <w:color w:val="000000" w:themeColor="text1"/>
        </w:rPr>
        <w:t>go lub upadłościowego, braku utraty osobowości prawnej, nie zawieszeniu działalności gospodarczej, niepodlegania postępowaniu sądowemu w tym zakresie oraz nieznajdowania się w podobnej sytuacji wynikającej z procedur przewidzianych w ustawodawstwie krajowym</w:t>
      </w:r>
      <w:r w:rsidR="00CC0C89">
        <w:rPr>
          <w:rFonts w:cstheme="minorHAnsi"/>
          <w:color w:val="000000" w:themeColor="text1"/>
        </w:rPr>
        <w:t xml:space="preserve"> (zał. 2)</w:t>
      </w:r>
    </w:p>
    <w:p w14:paraId="705EC84B" w14:textId="77777777" w:rsidR="00F97EBE" w:rsidRDefault="00BB7C41">
      <w:pPr>
        <w:numPr>
          <w:ilvl w:val="2"/>
          <w:numId w:val="6"/>
        </w:numPr>
        <w:spacing w:line="240" w:lineRule="auto"/>
        <w:ind w:left="773" w:right="54" w:hanging="410"/>
        <w:rPr>
          <w:rFonts w:cstheme="minorHAnsi"/>
          <w:color w:val="000000" w:themeColor="text1"/>
        </w:rPr>
      </w:pPr>
      <w:r>
        <w:rPr>
          <w:rFonts w:cstheme="minorHAnsi"/>
          <w:color w:val="000000" w:themeColor="text1"/>
        </w:rPr>
        <w:t>Inne dokumenty, oświadczenia lub informacje wymagane lub mogące mieć znaczenie dla oceny oferty.</w:t>
      </w:r>
    </w:p>
    <w:p w14:paraId="7F36E91E" w14:textId="77777777" w:rsidR="00F97EBE" w:rsidRDefault="00F97EBE">
      <w:pPr>
        <w:spacing w:line="240" w:lineRule="auto"/>
        <w:ind w:left="773" w:right="54"/>
        <w:rPr>
          <w:rFonts w:cstheme="minorHAnsi"/>
          <w:color w:val="000000" w:themeColor="text1"/>
        </w:rPr>
      </w:pPr>
    </w:p>
    <w:p w14:paraId="789A181C" w14:textId="77777777" w:rsidR="00F97EBE" w:rsidRDefault="00BB7C41">
      <w:pPr>
        <w:spacing w:after="260"/>
        <w:ind w:left="403"/>
        <w:rPr>
          <w:rFonts w:cstheme="minorHAnsi"/>
          <w:b/>
          <w:bCs/>
        </w:rPr>
      </w:pPr>
      <w:r>
        <w:rPr>
          <w:rFonts w:cstheme="minorHAnsi"/>
          <w:b/>
          <w:bCs/>
        </w:rPr>
        <w:t>VI. Termin, miejsce i sposób składania ofert.</w:t>
      </w:r>
    </w:p>
    <w:p w14:paraId="4A9BDFE2" w14:textId="77777777" w:rsidR="00F97EBE" w:rsidRDefault="00BB7C41">
      <w:pPr>
        <w:numPr>
          <w:ilvl w:val="2"/>
          <w:numId w:val="8"/>
        </w:numPr>
        <w:spacing w:after="0"/>
        <w:ind w:left="707" w:right="238" w:hanging="338"/>
        <w:rPr>
          <w:rFonts w:cstheme="minorHAnsi"/>
          <w:color w:val="000000" w:themeColor="text1"/>
        </w:rPr>
      </w:pPr>
      <w:r>
        <w:rPr>
          <w:noProof/>
        </w:rPr>
        <w:drawing>
          <wp:anchor distT="0" distB="0" distL="0" distR="114300" simplePos="0" relativeHeight="7" behindDoc="0" locked="0" layoutInCell="0" allowOverlap="1" wp14:anchorId="04AA30CA" wp14:editId="101E7A3F">
            <wp:simplePos x="0" y="0"/>
            <wp:positionH relativeFrom="column">
              <wp:align>left</wp:align>
            </wp:positionH>
            <wp:positionV relativeFrom="paragraph">
              <wp:posOffset>635</wp:posOffset>
            </wp:positionV>
            <wp:extent cx="4445" cy="4445"/>
            <wp:effectExtent l="0" t="0" r="0" b="0"/>
            <wp:wrapSquare wrapText="bothSides"/>
            <wp:docPr id="5" name="Picture 1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801"/>
                    <pic:cNvPicPr>
                      <a:picLocks noChangeAspect="1" noChangeArrowheads="1"/>
                    </pic:cNvPicPr>
                  </pic:nvPicPr>
                  <pic:blipFill>
                    <a:blip r:embed="rId12"/>
                    <a:stretch>
                      <a:fillRect/>
                    </a:stretch>
                  </pic:blipFill>
                  <pic:spPr bwMode="auto">
                    <a:xfrm>
                      <a:off x="0" y="0"/>
                      <a:ext cx="4445" cy="4445"/>
                    </a:xfrm>
                    <a:prstGeom prst="rect">
                      <a:avLst/>
                    </a:prstGeom>
                  </pic:spPr>
                </pic:pic>
              </a:graphicData>
            </a:graphic>
          </wp:anchor>
        </w:drawing>
      </w:r>
      <w:r>
        <w:rPr>
          <w:rFonts w:cstheme="minorHAnsi"/>
          <w:color w:val="000000" w:themeColor="text1"/>
        </w:rPr>
        <w:t>W naborze można złożyć tylko 1 ofertę. Ofertę wraz z załącznikami należy przedstawić w języku polskim w formie pisemnej tradycyjnej lub w formie elektronicznej, tj. podpisanej przy użyciu kwalifikowanego podpisu elektronicznego, podpisu zaufanego lub podpisu osobistego .</w:t>
      </w:r>
    </w:p>
    <w:p w14:paraId="58E8C8BA" w14:textId="77777777" w:rsidR="00F97EBE" w:rsidRDefault="00BB7C41">
      <w:pPr>
        <w:numPr>
          <w:ilvl w:val="2"/>
          <w:numId w:val="8"/>
        </w:numPr>
        <w:spacing w:after="0" w:line="264" w:lineRule="auto"/>
        <w:ind w:left="701" w:right="238" w:hanging="338"/>
        <w:rPr>
          <w:rFonts w:cstheme="minorHAnsi"/>
          <w:color w:val="000000" w:themeColor="text1"/>
        </w:rPr>
      </w:pPr>
      <w:r>
        <w:rPr>
          <w:rFonts w:cstheme="minorHAnsi"/>
          <w:color w:val="000000" w:themeColor="text1"/>
        </w:rPr>
        <w:t>Oferta powinna zawierać wszystkie informacje wymagane zgodnie z postanowieniami niniejszego ogłoszenia.</w:t>
      </w:r>
    </w:p>
    <w:p w14:paraId="7569696C" w14:textId="77777777" w:rsidR="00F97EBE" w:rsidRDefault="00BB7C41">
      <w:pPr>
        <w:spacing w:after="36" w:line="264" w:lineRule="auto"/>
        <w:ind w:left="716" w:right="482" w:hanging="353"/>
        <w:rPr>
          <w:rFonts w:cstheme="minorHAnsi"/>
          <w:color w:val="000000" w:themeColor="text1"/>
        </w:rPr>
      </w:pPr>
      <w:r>
        <w:rPr>
          <w:noProof/>
        </w:rPr>
        <w:drawing>
          <wp:inline distT="0" distB="0" distL="0" distR="0" wp14:anchorId="7C447396" wp14:editId="6913443D">
            <wp:extent cx="4445" cy="4445"/>
            <wp:effectExtent l="0" t="0" r="0" b="0"/>
            <wp:docPr id="6" name="Picture 1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802"/>
                    <pic:cNvPicPr>
                      <a:picLocks noChangeAspect="1" noChangeArrowheads="1"/>
                    </pic:cNvPicPr>
                  </pic:nvPicPr>
                  <pic:blipFill>
                    <a:blip r:embed="rId13"/>
                    <a:stretch>
                      <a:fillRect/>
                    </a:stretch>
                  </pic:blipFill>
                  <pic:spPr bwMode="auto">
                    <a:xfrm>
                      <a:off x="0" y="0"/>
                      <a:ext cx="4445" cy="4445"/>
                    </a:xfrm>
                    <a:prstGeom prst="rect">
                      <a:avLst/>
                    </a:prstGeom>
                  </pic:spPr>
                </pic:pic>
              </a:graphicData>
            </a:graphic>
          </wp:inline>
        </w:drawing>
      </w:r>
      <w:r>
        <w:rPr>
          <w:rFonts w:cstheme="minorHAnsi"/>
          <w:color w:val="000000" w:themeColor="text1"/>
        </w:rPr>
        <w:t>3.    Oferta oraz wszystkie oświadczenia składane w ramach konkursu powinny być podpisane przez osobę/osoby upoważnione do reprezentowania podmiotu (w przypadku, gdy oferta będzie podpisana przez osobę inną niż wskazana jako reprezentująca dany podmiot (czyli osobę upoważnioną), należy dołączyć stosowne pełnomocnictwo).</w:t>
      </w:r>
    </w:p>
    <w:p w14:paraId="67FE5CFA" w14:textId="77777777" w:rsidR="00F97EBE" w:rsidRDefault="00BB7C41">
      <w:pPr>
        <w:numPr>
          <w:ilvl w:val="2"/>
          <w:numId w:val="7"/>
        </w:numPr>
        <w:spacing w:after="21"/>
        <w:ind w:left="658" w:right="245" w:hanging="295"/>
        <w:rPr>
          <w:rFonts w:cstheme="minorHAnsi"/>
          <w:color w:val="000000" w:themeColor="text1"/>
        </w:rPr>
      </w:pPr>
      <w:r>
        <w:rPr>
          <w:rFonts w:cstheme="minorHAnsi"/>
          <w:color w:val="000000" w:themeColor="text1"/>
        </w:rPr>
        <w:t>Oferta powinna być podpisana w sposób umożliwiający identyfikację osoby składającej   podpis (np. czytelny podpis składający się z pełnego imienia i nazwiska lub podpis  nieczytelny opatrzony pieczęcią imienną) lub podpis elektroniczny.</w:t>
      </w:r>
    </w:p>
    <w:p w14:paraId="2441CFB1" w14:textId="77777777" w:rsidR="00F97EBE" w:rsidRDefault="00BB7C41">
      <w:pPr>
        <w:numPr>
          <w:ilvl w:val="2"/>
          <w:numId w:val="7"/>
        </w:numPr>
        <w:spacing w:after="13"/>
        <w:ind w:left="658" w:right="245" w:hanging="295"/>
        <w:rPr>
          <w:rFonts w:cstheme="minorHAnsi"/>
          <w:color w:val="000000" w:themeColor="text1"/>
        </w:rPr>
      </w:pPr>
      <w:r>
        <w:rPr>
          <w:rFonts w:cstheme="minorHAnsi"/>
          <w:color w:val="000000" w:themeColor="text1"/>
        </w:rPr>
        <w:t>Ofertę wraz z załącznikami należy złożyć:</w:t>
      </w:r>
    </w:p>
    <w:p w14:paraId="0BC99039" w14:textId="77777777" w:rsidR="00F97EBE" w:rsidRDefault="00BB7C41">
      <w:pPr>
        <w:pStyle w:val="Akapitzlist"/>
        <w:numPr>
          <w:ilvl w:val="0"/>
          <w:numId w:val="10"/>
        </w:numPr>
        <w:spacing w:after="0" w:line="264" w:lineRule="auto"/>
        <w:ind w:right="490"/>
        <w:rPr>
          <w:rFonts w:cstheme="minorHAnsi"/>
        </w:rPr>
      </w:pPr>
      <w:r>
        <w:rPr>
          <w:rFonts w:cstheme="minorHAnsi"/>
          <w:color w:val="000000" w:themeColor="text1"/>
        </w:rPr>
        <w:t>w formie pisemnej (osobiście lub korespondencyjnie) w zamkniętej kopercie z oznaczeniem podmiotu oraz opisem „</w:t>
      </w:r>
      <w:r>
        <w:rPr>
          <w:rFonts w:cstheme="minorHAnsi"/>
          <w:b/>
        </w:rPr>
        <w:t xml:space="preserve">Oferta w konkursie na wybór partnera do projektu w ramach programu Fundusze Europejskie dla Rozwoju Społecznego 2021-2027 (FERS), Działanie 01.05 Umiejętności w szkolnictwie wyższym, nabór Kształcenie na potrzeby technologii krytycznych - nr naboru: </w:t>
      </w:r>
      <w:r>
        <w:rPr>
          <w:rFonts w:eastAsia="Calibri" w:cstheme="minorHAnsi"/>
          <w:b/>
        </w:rPr>
        <w:t>FERS.01.05-IP.08-003/25</w:t>
      </w:r>
      <w:r>
        <w:rPr>
          <w:rFonts w:eastAsia="Calibri" w:cstheme="minorHAnsi"/>
        </w:rPr>
        <w:t>”</w:t>
      </w:r>
      <w:r>
        <w:rPr>
          <w:rFonts w:cstheme="minorHAnsi"/>
        </w:rPr>
        <w:t>,</w:t>
      </w:r>
      <w:r>
        <w:rPr>
          <w:rFonts w:cstheme="minorHAnsi"/>
          <w:color w:val="00B050"/>
        </w:rPr>
        <w:t xml:space="preserve"> </w:t>
      </w:r>
      <w:r>
        <w:rPr>
          <w:rFonts w:cstheme="minorHAnsi"/>
        </w:rPr>
        <w:t xml:space="preserve">na adres: Akademia Tarnowska, ul. A. Mickiewicza 8, 33-100 Tarnów, budynek A, Kancelaria, piętro I, nr pokój A113, </w:t>
      </w:r>
    </w:p>
    <w:p w14:paraId="4EAE82CB" w14:textId="77777777" w:rsidR="00F97EBE" w:rsidRDefault="00BB7C41">
      <w:pPr>
        <w:spacing w:after="0" w:line="264" w:lineRule="auto"/>
        <w:ind w:left="990" w:right="490"/>
        <w:rPr>
          <w:rFonts w:cstheme="minorHAnsi"/>
          <w:color w:val="000000" w:themeColor="text1"/>
        </w:rPr>
      </w:pPr>
      <w:r>
        <w:rPr>
          <w:rFonts w:cstheme="minorHAnsi"/>
          <w:color w:val="000000" w:themeColor="text1"/>
        </w:rPr>
        <w:t>lub</w:t>
      </w:r>
    </w:p>
    <w:p w14:paraId="17DC8668" w14:textId="77777777" w:rsidR="00F97EBE" w:rsidRDefault="00BB7C41">
      <w:pPr>
        <w:pStyle w:val="Akapitzlist"/>
        <w:numPr>
          <w:ilvl w:val="0"/>
          <w:numId w:val="9"/>
        </w:numPr>
        <w:spacing w:after="0" w:line="264" w:lineRule="auto"/>
        <w:ind w:right="202"/>
        <w:rPr>
          <w:rFonts w:cstheme="minorHAnsi"/>
        </w:rPr>
      </w:pPr>
      <w:r>
        <w:rPr>
          <w:rFonts w:cstheme="minorHAnsi"/>
          <w:color w:val="000000" w:themeColor="text1"/>
        </w:rPr>
        <w:lastRenderedPageBreak/>
        <w:t xml:space="preserve">w formie dokumentu elektronicznego, podpisanego przy użyciu kwalifikowanego podpisu elektronicznego, podpisu zaufanego lub podpisu osobistego, </w:t>
      </w:r>
      <w:r>
        <w:rPr>
          <w:rFonts w:cstheme="minorHAnsi"/>
        </w:rPr>
        <w:t xml:space="preserve">w formacie umożliwiającym jego otwarcie  na dowolnym urządzeniu przy użyciu standardowego oprogramowania, </w:t>
      </w:r>
      <w:r>
        <w:rPr>
          <w:rFonts w:cstheme="minorHAnsi"/>
          <w:color w:val="000000" w:themeColor="text1"/>
        </w:rPr>
        <w:t xml:space="preserve">przesłanego jako załącznik do wiadomości na adres: </w:t>
      </w:r>
      <w:hyperlink r:id="rId14">
        <w:r>
          <w:rPr>
            <w:rStyle w:val="Hipercze"/>
            <w:rFonts w:cstheme="minorHAnsi"/>
            <w:color w:val="auto"/>
          </w:rPr>
          <w:t>kancelaria@atar.edu.pl</w:t>
        </w:r>
      </w:hyperlink>
      <w:r>
        <w:rPr>
          <w:rFonts w:cstheme="minorHAnsi"/>
        </w:rPr>
        <w:t xml:space="preserve"> z </w:t>
      </w:r>
      <w:r>
        <w:rPr>
          <w:rFonts w:cstheme="minorHAnsi"/>
          <w:color w:val="000000" w:themeColor="text1"/>
        </w:rPr>
        <w:t xml:space="preserve">tematem: </w:t>
      </w:r>
      <w:r>
        <w:rPr>
          <w:rFonts w:cstheme="minorHAnsi"/>
          <w:b/>
          <w:color w:val="000000" w:themeColor="text1"/>
        </w:rPr>
        <w:t xml:space="preserve">„Oferta w konkursie na wybór partnera do projektu w ramach programu Fundusze Europejskie dla Rozwoju Społecznego 2021-2027 (FERS), Działanie 01.05 Umiejętności w szkolnictwie wyższym, nabór </w:t>
      </w:r>
      <w:r>
        <w:rPr>
          <w:rFonts w:cstheme="minorHAnsi"/>
          <w:b/>
        </w:rPr>
        <w:t xml:space="preserve">Kształcenie na potrzeby technologii krytycznych - nr naboru: </w:t>
      </w:r>
      <w:r>
        <w:rPr>
          <w:rFonts w:eastAsia="Calibri" w:cstheme="minorHAnsi"/>
          <w:b/>
        </w:rPr>
        <w:t>FERS.01.05-IP.08-003/25</w:t>
      </w:r>
      <w:r>
        <w:rPr>
          <w:rFonts w:eastAsia="Calibri" w:cstheme="minorHAnsi"/>
        </w:rPr>
        <w:t>”.</w:t>
      </w:r>
      <w:r>
        <w:rPr>
          <w:rFonts w:cstheme="minorHAnsi"/>
        </w:rPr>
        <w:t xml:space="preserve"> W przypadku, gdy przesłany plik okaże się nieczytelny lub nie będzie możliwy do otwarcia, zastrzegamy sobie prawo do wezwania podmiotu do ponownego przesłania dokumentów. Wówczas podmiot zobowiązany jest dostarczyć poprawny plik drogą elektroniczną (mail) lub tradycyjną w terminie </w:t>
      </w:r>
      <w:r>
        <w:rPr>
          <w:rStyle w:val="Pogrubienie"/>
          <w:rFonts w:cstheme="minorHAnsi"/>
          <w:b w:val="0"/>
          <w:bCs w:val="0"/>
        </w:rPr>
        <w:t>24 godzin</w:t>
      </w:r>
      <w:r>
        <w:rPr>
          <w:rFonts w:cstheme="minorHAnsi"/>
        </w:rPr>
        <w:t xml:space="preserve"> od otrzymania informacji (telefonicznej).</w:t>
      </w:r>
    </w:p>
    <w:p w14:paraId="021D0366" w14:textId="77777777" w:rsidR="00F97EBE" w:rsidRDefault="00BB7C41">
      <w:pPr>
        <w:pStyle w:val="Akapitzlist"/>
        <w:numPr>
          <w:ilvl w:val="2"/>
          <w:numId w:val="7"/>
        </w:numPr>
        <w:spacing w:after="210" w:line="264" w:lineRule="auto"/>
        <w:ind w:left="363" w:right="202"/>
        <w:rPr>
          <w:rFonts w:cstheme="minorHAnsi"/>
          <w:color w:val="000000" w:themeColor="text1"/>
        </w:rPr>
      </w:pPr>
      <w:r>
        <w:rPr>
          <w:rFonts w:cstheme="minorHAnsi"/>
          <w:color w:val="000000" w:themeColor="text1"/>
        </w:rPr>
        <w:t xml:space="preserve">Ofertę należy złożyć najpóźniej do dnia </w:t>
      </w:r>
      <w:r>
        <w:rPr>
          <w:rFonts w:cstheme="minorHAnsi"/>
          <w:b/>
          <w:u w:val="single"/>
        </w:rPr>
        <w:t>17</w:t>
      </w:r>
      <w:r>
        <w:rPr>
          <w:rFonts w:cstheme="minorHAnsi"/>
          <w:b/>
          <w:bCs/>
          <w:u w:val="single"/>
        </w:rPr>
        <w:t>.02</w:t>
      </w:r>
      <w:r>
        <w:rPr>
          <w:rFonts w:cstheme="minorHAnsi"/>
          <w:b/>
          <w:bCs/>
          <w:color w:val="000000" w:themeColor="text1"/>
          <w:u w:val="single"/>
        </w:rPr>
        <w:t>.2026 r. do godz. 14.00</w:t>
      </w:r>
      <w:r>
        <w:rPr>
          <w:rFonts w:cstheme="minorHAnsi"/>
          <w:color w:val="000000" w:themeColor="text1"/>
        </w:rPr>
        <w:t xml:space="preserve">. Oferty, które wpłyną </w:t>
      </w:r>
    </w:p>
    <w:p w14:paraId="2E181BB3" w14:textId="77777777" w:rsidR="00F97EBE" w:rsidRDefault="00BB7C41">
      <w:pPr>
        <w:pStyle w:val="Akapitzlist"/>
        <w:spacing w:after="210" w:line="264" w:lineRule="auto"/>
        <w:ind w:left="363" w:right="202" w:firstLine="345"/>
        <w:rPr>
          <w:rFonts w:cstheme="minorHAnsi"/>
          <w:color w:val="000000" w:themeColor="text1"/>
        </w:rPr>
      </w:pPr>
      <w:r>
        <w:rPr>
          <w:rFonts w:cstheme="minorHAnsi"/>
          <w:color w:val="000000" w:themeColor="text1"/>
        </w:rPr>
        <w:t>po terminie, pozostaną bez rozpatrzenia.</w:t>
      </w:r>
    </w:p>
    <w:p w14:paraId="6DEB6BFB" w14:textId="77777777" w:rsidR="00F97EBE" w:rsidRDefault="00BB7C41">
      <w:pPr>
        <w:pStyle w:val="Akapitzlist"/>
        <w:numPr>
          <w:ilvl w:val="2"/>
          <w:numId w:val="7"/>
        </w:numPr>
        <w:spacing w:after="0" w:line="264" w:lineRule="auto"/>
        <w:ind w:left="363" w:right="202"/>
        <w:rPr>
          <w:rFonts w:cstheme="minorHAnsi"/>
          <w:color w:val="000000" w:themeColor="text1"/>
        </w:rPr>
      </w:pPr>
      <w:r>
        <w:rPr>
          <w:rFonts w:cstheme="minorHAnsi"/>
          <w:color w:val="000000" w:themeColor="text1"/>
        </w:rPr>
        <w:t xml:space="preserve">Po upływie terminu składania ofert Komisja Konkursowa, powołana przez Rektora, dokona  </w:t>
      </w:r>
    </w:p>
    <w:p w14:paraId="7B9A77BD" w14:textId="77777777" w:rsidR="00F97EBE" w:rsidRDefault="00BB7C41">
      <w:pPr>
        <w:pStyle w:val="Akapitzlist"/>
        <w:spacing w:after="0" w:line="264" w:lineRule="auto"/>
        <w:ind w:left="363" w:right="202"/>
        <w:rPr>
          <w:rFonts w:cstheme="minorHAnsi"/>
          <w:color w:val="000000" w:themeColor="text1"/>
        </w:rPr>
      </w:pPr>
      <w:r>
        <w:rPr>
          <w:rFonts w:cstheme="minorHAnsi"/>
          <w:color w:val="000000" w:themeColor="text1"/>
        </w:rPr>
        <w:t xml:space="preserve">       otwarcia ofert, następnie przeprowadzi ocenę ofert złożonych prawidłowo oraz wyłoni </w:t>
      </w:r>
    </w:p>
    <w:p w14:paraId="6FF07BBA" w14:textId="77777777" w:rsidR="00F97EBE" w:rsidRDefault="00BB7C41">
      <w:pPr>
        <w:pStyle w:val="Akapitzlist"/>
        <w:spacing w:after="0" w:line="264" w:lineRule="auto"/>
        <w:ind w:left="363" w:right="202"/>
        <w:rPr>
          <w:rFonts w:cstheme="minorHAnsi"/>
          <w:color w:val="000000" w:themeColor="text1"/>
        </w:rPr>
      </w:pPr>
      <w:r>
        <w:rPr>
          <w:rFonts w:cstheme="minorHAnsi"/>
          <w:color w:val="000000" w:themeColor="text1"/>
        </w:rPr>
        <w:t xml:space="preserve">       ofertę/y najkorzystniejszą/e, tj. spełniającą wszystkie warunki formalne i uzyskującą/e </w:t>
      </w:r>
    </w:p>
    <w:p w14:paraId="77C78853" w14:textId="77777777" w:rsidR="00F97EBE" w:rsidRDefault="00BB7C41">
      <w:pPr>
        <w:pStyle w:val="Akapitzlist"/>
        <w:spacing w:after="0" w:line="264" w:lineRule="auto"/>
        <w:ind w:left="363" w:right="202"/>
        <w:rPr>
          <w:rFonts w:cstheme="minorHAnsi"/>
          <w:color w:val="000000" w:themeColor="text1"/>
        </w:rPr>
      </w:pPr>
      <w:r>
        <w:rPr>
          <w:rFonts w:cstheme="minorHAnsi"/>
          <w:color w:val="000000" w:themeColor="text1"/>
        </w:rPr>
        <w:t xml:space="preserve">       najwyższą liczbę punktów w kryteriach oceny ofert. Nadzór nad powołaniem i działalnością     </w:t>
      </w:r>
    </w:p>
    <w:p w14:paraId="3CC5DECD" w14:textId="77777777" w:rsidR="00F97EBE" w:rsidRPr="00B033D3" w:rsidRDefault="00BB7C41">
      <w:pPr>
        <w:pStyle w:val="Akapitzlist"/>
        <w:spacing w:after="0" w:line="264" w:lineRule="auto"/>
        <w:ind w:left="363" w:right="202"/>
        <w:rPr>
          <w:rFonts w:cstheme="minorHAnsi"/>
          <w:color w:val="000000" w:themeColor="text1"/>
        </w:rPr>
      </w:pPr>
      <w:r>
        <w:rPr>
          <w:rFonts w:cstheme="minorHAnsi"/>
          <w:color w:val="000000" w:themeColor="text1"/>
        </w:rPr>
        <w:t xml:space="preserve">       </w:t>
      </w:r>
      <w:r w:rsidRPr="00B033D3">
        <w:rPr>
          <w:rFonts w:cstheme="minorHAnsi"/>
          <w:color w:val="000000" w:themeColor="text1"/>
        </w:rPr>
        <w:t xml:space="preserve">Komisji sprawuje Rektor. </w:t>
      </w:r>
    </w:p>
    <w:p w14:paraId="0E0121B0" w14:textId="77777777" w:rsidR="00F97EBE" w:rsidRPr="00B033D3" w:rsidRDefault="00BB7C41">
      <w:pPr>
        <w:numPr>
          <w:ilvl w:val="2"/>
          <w:numId w:val="7"/>
        </w:numPr>
        <w:spacing w:after="0" w:line="247" w:lineRule="auto"/>
        <w:ind w:left="730" w:right="202" w:hanging="367"/>
        <w:rPr>
          <w:rFonts w:cstheme="minorHAnsi"/>
          <w:color w:val="000000" w:themeColor="text1"/>
        </w:rPr>
      </w:pPr>
      <w:r w:rsidRPr="00B033D3">
        <w:rPr>
          <w:rFonts w:cstheme="minorHAnsi"/>
          <w:color w:val="000000" w:themeColor="text1"/>
        </w:rPr>
        <w:t>Akademia Tarnowska zastrzega sobie prawo do wyboru jednego lub więcej partnera/partnerów spośród oferentów z najwyższą liczbą punktów.</w:t>
      </w:r>
    </w:p>
    <w:p w14:paraId="5C760DCA" w14:textId="77777777" w:rsidR="00F97EBE" w:rsidRDefault="00BB7C41" w:rsidP="003F4B70">
      <w:pPr>
        <w:numPr>
          <w:ilvl w:val="2"/>
          <w:numId w:val="7"/>
        </w:numPr>
        <w:spacing w:after="0" w:line="264" w:lineRule="auto"/>
        <w:ind w:left="732" w:right="204" w:hanging="369"/>
        <w:rPr>
          <w:rFonts w:cstheme="minorHAnsi"/>
          <w:color w:val="000000" w:themeColor="text1"/>
          <w:highlight w:val="yellow"/>
        </w:rPr>
      </w:pPr>
      <w:r w:rsidRPr="00B033D3">
        <w:rPr>
          <w:rFonts w:cstheme="minorHAnsi"/>
          <w:color w:val="000000" w:themeColor="text1"/>
        </w:rPr>
        <w:t>Akademia Tarnowska zaproponuje wybranemu podmiotowi/podmiotom podpisanie listu intencyjnego. W sytuacji niewyrażenia przez wyłonionego partnera/partnerów zgody na</w:t>
      </w:r>
      <w:r>
        <w:rPr>
          <w:rFonts w:cstheme="minorHAnsi"/>
          <w:color w:val="000000" w:themeColor="text1"/>
        </w:rPr>
        <w:t xml:space="preserve"> </w:t>
      </w:r>
      <w:r w:rsidRPr="00A4450C">
        <w:rPr>
          <w:rFonts w:cstheme="minorHAnsi"/>
          <w:color w:val="000000" w:themeColor="text1"/>
        </w:rPr>
        <w:t>podpisanie listu intencyjnego na warunkach określonych przez Akademię Tarnowską,</w:t>
      </w:r>
      <w:bookmarkStart w:id="0" w:name="_GoBack"/>
      <w:bookmarkEnd w:id="0"/>
      <w:r>
        <w:rPr>
          <w:rFonts w:cstheme="minorHAnsi"/>
          <w:color w:val="000000" w:themeColor="text1"/>
        </w:rPr>
        <w:t xml:space="preserve"> ogłaszający konkurs zastrzega sobie prawo do wyboru partnera/partnerów spośród </w:t>
      </w:r>
      <w:r w:rsidRPr="00A4450C">
        <w:rPr>
          <w:rFonts w:cstheme="minorHAnsi"/>
          <w:color w:val="000000" w:themeColor="text1"/>
        </w:rPr>
        <w:t>pozostałych podmiotów, które złożyły oferty w niniejszym konkursie i uzyskały kolejne</w:t>
      </w:r>
      <w:r>
        <w:rPr>
          <w:rFonts w:cstheme="minorHAnsi"/>
          <w:color w:val="000000" w:themeColor="text1"/>
        </w:rPr>
        <w:t xml:space="preserve"> lokaty na liście rankingowej.</w:t>
      </w:r>
    </w:p>
    <w:p w14:paraId="37FBE8B5" w14:textId="77777777" w:rsidR="00F97EBE" w:rsidRDefault="00BB7C41">
      <w:pPr>
        <w:pStyle w:val="Akapitzlist"/>
        <w:numPr>
          <w:ilvl w:val="2"/>
          <w:numId w:val="7"/>
        </w:numPr>
        <w:spacing w:after="235"/>
        <w:ind w:left="363" w:right="202"/>
        <w:rPr>
          <w:rFonts w:cstheme="minorHAnsi"/>
          <w:color w:val="000000" w:themeColor="text1"/>
        </w:rPr>
      </w:pPr>
      <w:r>
        <w:rPr>
          <w:rFonts w:cstheme="minorHAnsi"/>
          <w:color w:val="000000" w:themeColor="text1"/>
        </w:rPr>
        <w:t xml:space="preserve">Oferenci, którzy złożą ofertę zostaną powiadomieni o wynikach konkursu w terminie 7 dni  </w:t>
      </w:r>
    </w:p>
    <w:p w14:paraId="561B37ED" w14:textId="77777777" w:rsidR="00F97EBE" w:rsidRDefault="00BB7C41">
      <w:pPr>
        <w:pStyle w:val="Akapitzlist"/>
        <w:spacing w:after="235"/>
        <w:ind w:left="363" w:right="202"/>
        <w:rPr>
          <w:rFonts w:cstheme="minorHAnsi"/>
          <w:color w:val="000000" w:themeColor="text1"/>
        </w:rPr>
      </w:pPr>
      <w:r>
        <w:rPr>
          <w:rFonts w:cstheme="minorHAnsi"/>
          <w:color w:val="000000" w:themeColor="text1"/>
        </w:rPr>
        <w:t xml:space="preserve">       od dnia wyboru Partnera/ów przez Komisję Konkursową za pośrednictwem poczty  </w:t>
      </w:r>
    </w:p>
    <w:p w14:paraId="6D3D6692" w14:textId="77777777" w:rsidR="00F97EBE" w:rsidRDefault="00BB7C41">
      <w:pPr>
        <w:pStyle w:val="Akapitzlist"/>
        <w:spacing w:after="235"/>
        <w:ind w:left="363" w:right="202"/>
        <w:rPr>
          <w:rFonts w:cstheme="minorHAnsi"/>
          <w:color w:val="000000" w:themeColor="text1"/>
        </w:rPr>
      </w:pPr>
      <w:r>
        <w:rPr>
          <w:rFonts w:cstheme="minorHAnsi"/>
          <w:color w:val="000000" w:themeColor="text1"/>
        </w:rPr>
        <w:t xml:space="preserve">       elektronicznej (adres wskazany do kontaktu). Informacja o wynikach konkursu zostaną </w:t>
      </w:r>
    </w:p>
    <w:p w14:paraId="6794E952" w14:textId="77777777" w:rsidR="00F97EBE" w:rsidRDefault="00BB7C41">
      <w:pPr>
        <w:pStyle w:val="Akapitzlist"/>
        <w:spacing w:after="235"/>
        <w:ind w:left="363" w:right="202"/>
        <w:rPr>
          <w:rFonts w:cstheme="minorHAnsi"/>
          <w:color w:val="000000" w:themeColor="text1"/>
        </w:rPr>
      </w:pPr>
      <w:r>
        <w:rPr>
          <w:rFonts w:cstheme="minorHAnsi"/>
          <w:color w:val="000000" w:themeColor="text1"/>
        </w:rPr>
        <w:t xml:space="preserve">       podana do publicznej wiadomości na stronie internetowej i/lub stronie BIP Ogłaszającego </w:t>
      </w:r>
    </w:p>
    <w:p w14:paraId="56C7D969" w14:textId="77777777" w:rsidR="00F97EBE" w:rsidRDefault="00BB7C41">
      <w:pPr>
        <w:pStyle w:val="Akapitzlist"/>
        <w:spacing w:after="235"/>
        <w:ind w:left="363" w:right="202"/>
        <w:rPr>
          <w:rFonts w:cstheme="minorHAnsi"/>
          <w:color w:val="000000" w:themeColor="text1"/>
        </w:rPr>
      </w:pPr>
      <w:r>
        <w:rPr>
          <w:rFonts w:cstheme="minorHAnsi"/>
          <w:color w:val="000000" w:themeColor="text1"/>
        </w:rPr>
        <w:t xml:space="preserve">       nabór. </w:t>
      </w:r>
    </w:p>
    <w:p w14:paraId="4BEC7D31" w14:textId="77777777" w:rsidR="00F97EBE" w:rsidRDefault="00BB7C41">
      <w:pPr>
        <w:pStyle w:val="Akapitzlist"/>
        <w:numPr>
          <w:ilvl w:val="2"/>
          <w:numId w:val="7"/>
        </w:numPr>
        <w:spacing w:after="235"/>
        <w:ind w:left="363" w:right="202"/>
        <w:rPr>
          <w:rFonts w:cstheme="minorHAnsi"/>
          <w:color w:val="000000" w:themeColor="text1"/>
        </w:rPr>
      </w:pPr>
      <w:r>
        <w:rPr>
          <w:rFonts w:cstheme="minorHAnsi"/>
        </w:rPr>
        <w:t xml:space="preserve">Termin związania ofertą wynosi: 10 miesięcy (z możliwością wydłużenia w przypadku </w:t>
      </w:r>
    </w:p>
    <w:p w14:paraId="4A8B97CB" w14:textId="77777777" w:rsidR="00F97EBE" w:rsidRDefault="00BB7C41">
      <w:pPr>
        <w:pStyle w:val="Akapitzlist"/>
        <w:spacing w:after="235"/>
        <w:ind w:left="363" w:right="202"/>
        <w:rPr>
          <w:rFonts w:cstheme="minorHAnsi"/>
          <w:color w:val="000000" w:themeColor="text1"/>
        </w:rPr>
      </w:pPr>
      <w:r>
        <w:rPr>
          <w:rFonts w:cstheme="minorHAnsi"/>
        </w:rPr>
        <w:t xml:space="preserve">       późniejszego ogłoszenia wyników konkursu przez Instytucję Ogłaszającą Konkurs).</w:t>
      </w:r>
    </w:p>
    <w:p w14:paraId="684B1C2A" w14:textId="77777777" w:rsidR="00F97EBE" w:rsidRDefault="00BB7C41">
      <w:pPr>
        <w:pStyle w:val="Akapitzlist"/>
        <w:numPr>
          <w:ilvl w:val="2"/>
          <w:numId w:val="7"/>
        </w:numPr>
        <w:spacing w:after="235"/>
        <w:ind w:left="363" w:right="202"/>
        <w:rPr>
          <w:rFonts w:cstheme="minorHAnsi"/>
          <w:color w:val="000000" w:themeColor="text1"/>
        </w:rPr>
      </w:pPr>
      <w:r>
        <w:rPr>
          <w:rFonts w:cstheme="minorHAnsi"/>
          <w:color w:val="000000" w:themeColor="text1"/>
        </w:rPr>
        <w:t>Dane kontaktowe osób w sprawie naboru:</w:t>
      </w:r>
    </w:p>
    <w:p w14:paraId="248453CC" w14:textId="6676E42E" w:rsidR="00F97EBE" w:rsidRDefault="00BB7C41">
      <w:pPr>
        <w:pStyle w:val="Akapitzlist"/>
        <w:numPr>
          <w:ilvl w:val="0"/>
          <w:numId w:val="15"/>
        </w:numPr>
        <w:spacing w:after="235"/>
        <w:ind w:right="202"/>
        <w:rPr>
          <w:rFonts w:cstheme="minorHAnsi"/>
        </w:rPr>
      </w:pPr>
      <w:r w:rsidRPr="008830BD">
        <w:rPr>
          <w:rFonts w:cstheme="minorHAnsi"/>
        </w:rPr>
        <w:t>Dziekan Wydziału Nauk Technicznych - dr inż. Daniel Król, prof. AT</w:t>
      </w:r>
    </w:p>
    <w:p w14:paraId="36CCEA46" w14:textId="0A848EE8" w:rsidR="00CD3562" w:rsidRPr="008830BD" w:rsidRDefault="00CD3562" w:rsidP="00CD3562">
      <w:pPr>
        <w:pStyle w:val="Akapitzlist"/>
        <w:spacing w:after="235"/>
        <w:ind w:left="723" w:right="202"/>
        <w:rPr>
          <w:rFonts w:cstheme="minorHAnsi"/>
        </w:rPr>
      </w:pPr>
      <w:r>
        <w:rPr>
          <w:rFonts w:cstheme="minorHAnsi"/>
        </w:rPr>
        <w:t xml:space="preserve">adres poczty elektronicznej: </w:t>
      </w:r>
      <w:hyperlink r:id="rId15" w:history="1">
        <w:r w:rsidRPr="009C0C07">
          <w:rPr>
            <w:rStyle w:val="Hipercze"/>
            <w:rFonts w:cstheme="minorHAnsi"/>
          </w:rPr>
          <w:t>d_krol@atar.edu.pl</w:t>
        </w:r>
      </w:hyperlink>
      <w:r>
        <w:rPr>
          <w:rFonts w:cstheme="minorHAnsi"/>
        </w:rPr>
        <w:t xml:space="preserve">, tel. </w:t>
      </w:r>
      <w:r w:rsidRPr="00CD3562">
        <w:rPr>
          <w:rFonts w:cstheme="minorHAnsi"/>
        </w:rPr>
        <w:t>14 63 16</w:t>
      </w:r>
      <w:r>
        <w:rPr>
          <w:rFonts w:cstheme="minorHAnsi"/>
        </w:rPr>
        <w:t> </w:t>
      </w:r>
      <w:r w:rsidRPr="00CD3562">
        <w:rPr>
          <w:rFonts w:cstheme="minorHAnsi"/>
        </w:rPr>
        <w:t>510</w:t>
      </w:r>
      <w:r>
        <w:rPr>
          <w:rFonts w:cstheme="minorHAnsi"/>
        </w:rPr>
        <w:t xml:space="preserve"> lub </w:t>
      </w:r>
      <w:r w:rsidRPr="00CD3562">
        <w:rPr>
          <w:rFonts w:cstheme="minorHAnsi"/>
        </w:rPr>
        <w:t>14 63 16 511</w:t>
      </w:r>
    </w:p>
    <w:p w14:paraId="038F791A" w14:textId="77777777" w:rsidR="00F97EBE" w:rsidRDefault="00BB7C41">
      <w:pPr>
        <w:pStyle w:val="Akapitzlist"/>
        <w:numPr>
          <w:ilvl w:val="0"/>
          <w:numId w:val="15"/>
        </w:numPr>
        <w:spacing w:after="235"/>
        <w:ind w:right="202"/>
        <w:rPr>
          <w:rFonts w:cstheme="minorHAnsi"/>
        </w:rPr>
      </w:pPr>
      <w:r w:rsidRPr="008830BD">
        <w:rPr>
          <w:rFonts w:cstheme="minorHAnsi"/>
        </w:rPr>
        <w:t>Kierownik Katedry Automatyki, Robotyki i Inżynierii Elektrycznej – mgr inż. Mariusz Świder</w:t>
      </w:r>
    </w:p>
    <w:p w14:paraId="15C28B65" w14:textId="4FDA0245" w:rsidR="00CD3562" w:rsidRPr="008830BD" w:rsidRDefault="00CD3562" w:rsidP="00CD3562">
      <w:pPr>
        <w:pStyle w:val="Akapitzlist"/>
        <w:spacing w:after="235"/>
        <w:ind w:left="723" w:right="202"/>
        <w:rPr>
          <w:rFonts w:cstheme="minorHAnsi"/>
        </w:rPr>
      </w:pPr>
      <w:r>
        <w:rPr>
          <w:rFonts w:cstheme="minorHAnsi"/>
        </w:rPr>
        <w:t xml:space="preserve">adres poczty elektronicznej: </w:t>
      </w:r>
      <w:hyperlink r:id="rId16" w:history="1">
        <w:r w:rsidRPr="009C0C07">
          <w:rPr>
            <w:rStyle w:val="Hipercze"/>
            <w:rFonts w:cstheme="minorHAnsi"/>
          </w:rPr>
          <w:t>m_swider@atar.edu.pl</w:t>
        </w:r>
      </w:hyperlink>
      <w:r>
        <w:rPr>
          <w:rFonts w:cstheme="minorHAnsi"/>
        </w:rPr>
        <w:t xml:space="preserve"> </w:t>
      </w:r>
    </w:p>
    <w:p w14:paraId="32259291" w14:textId="34F644CA" w:rsidR="00F97EBE" w:rsidRDefault="00BB7C41">
      <w:pPr>
        <w:pStyle w:val="Akapitzlist"/>
        <w:numPr>
          <w:ilvl w:val="0"/>
          <w:numId w:val="15"/>
        </w:numPr>
        <w:spacing w:after="235"/>
        <w:ind w:right="202"/>
        <w:rPr>
          <w:rFonts w:cstheme="minorHAnsi"/>
        </w:rPr>
      </w:pPr>
      <w:r w:rsidRPr="008830BD">
        <w:rPr>
          <w:rFonts w:cstheme="minorHAnsi"/>
        </w:rPr>
        <w:t>Kierownik Katedry Technologii i Zarządzania Produkcją – dr inż. Jakub Sobota</w:t>
      </w:r>
    </w:p>
    <w:p w14:paraId="282ACF71" w14:textId="007246DE" w:rsidR="00CD3562" w:rsidRPr="008830BD" w:rsidRDefault="00E334C1" w:rsidP="00CD3562">
      <w:pPr>
        <w:pStyle w:val="Akapitzlist"/>
        <w:spacing w:after="235"/>
        <w:ind w:left="723" w:right="202"/>
        <w:rPr>
          <w:rFonts w:cstheme="minorHAnsi"/>
        </w:rPr>
      </w:pPr>
      <w:r>
        <w:rPr>
          <w:rFonts w:cstheme="minorHAnsi"/>
        </w:rPr>
        <w:t>a</w:t>
      </w:r>
      <w:r w:rsidR="00CD3562">
        <w:rPr>
          <w:rFonts w:cstheme="minorHAnsi"/>
        </w:rPr>
        <w:t xml:space="preserve">dres poczty elektronicznej: </w:t>
      </w:r>
      <w:hyperlink r:id="rId17" w:history="1">
        <w:r w:rsidR="00CD3562" w:rsidRPr="009C0C07">
          <w:rPr>
            <w:rStyle w:val="Hipercze"/>
            <w:rFonts w:cstheme="minorHAnsi"/>
          </w:rPr>
          <w:t>j_sobota@atar.edu.pl</w:t>
        </w:r>
      </w:hyperlink>
      <w:r w:rsidR="00CD3562">
        <w:rPr>
          <w:rFonts w:cstheme="minorHAnsi"/>
        </w:rPr>
        <w:t xml:space="preserve"> </w:t>
      </w:r>
    </w:p>
    <w:p w14:paraId="213BCF2F" w14:textId="395CB771" w:rsidR="00B033D3" w:rsidRDefault="00B033D3" w:rsidP="00CD3562">
      <w:pPr>
        <w:spacing w:after="235"/>
        <w:ind w:right="202"/>
        <w:rPr>
          <w:rFonts w:cstheme="minorHAnsi"/>
          <w:color w:val="FF0000"/>
        </w:rPr>
      </w:pPr>
    </w:p>
    <w:p w14:paraId="20C8098C" w14:textId="77777777" w:rsidR="00CD3562" w:rsidRDefault="00CD3562" w:rsidP="00CD3562">
      <w:pPr>
        <w:spacing w:after="235"/>
        <w:ind w:right="202"/>
        <w:rPr>
          <w:rFonts w:cstheme="minorHAnsi"/>
          <w:color w:val="FF0000"/>
        </w:rPr>
      </w:pPr>
    </w:p>
    <w:p w14:paraId="1C0B7751" w14:textId="77777777" w:rsidR="00CD3562" w:rsidRPr="00CD3562" w:rsidRDefault="00CD3562" w:rsidP="00CD3562">
      <w:pPr>
        <w:spacing w:after="235"/>
        <w:ind w:right="202"/>
        <w:rPr>
          <w:rFonts w:cstheme="minorHAnsi"/>
          <w:color w:val="FF0000"/>
        </w:rPr>
      </w:pPr>
    </w:p>
    <w:p w14:paraId="6674A063" w14:textId="77777777" w:rsidR="00F97EBE" w:rsidRDefault="00BB7C41">
      <w:pPr>
        <w:spacing w:after="243"/>
        <w:ind w:left="302"/>
        <w:rPr>
          <w:rFonts w:cstheme="minorHAnsi"/>
          <w:b/>
          <w:bCs/>
          <w:color w:val="000000" w:themeColor="text1"/>
        </w:rPr>
      </w:pPr>
      <w:r>
        <w:rPr>
          <w:rFonts w:cstheme="minorHAnsi"/>
          <w:b/>
          <w:bCs/>
          <w:color w:val="000000" w:themeColor="text1"/>
        </w:rPr>
        <w:lastRenderedPageBreak/>
        <w:t>VII. Procedura odwoławcza.</w:t>
      </w:r>
    </w:p>
    <w:p w14:paraId="2339DC65" w14:textId="77777777" w:rsidR="00F97EBE" w:rsidRDefault="00BB7C41">
      <w:pPr>
        <w:numPr>
          <w:ilvl w:val="2"/>
          <w:numId w:val="11"/>
        </w:numPr>
        <w:spacing w:after="0" w:line="276" w:lineRule="auto"/>
        <w:ind w:left="644" w:hanging="281"/>
        <w:rPr>
          <w:rFonts w:cstheme="minorHAnsi"/>
          <w:color w:val="000000" w:themeColor="text1"/>
        </w:rPr>
      </w:pPr>
      <w:r>
        <w:rPr>
          <w:rFonts w:cstheme="minorHAnsi"/>
          <w:color w:val="000000" w:themeColor="text1"/>
        </w:rPr>
        <w:t>Od decyzji o wyborze partnera przysługuje odwołanie w terminie 3 dni od dnia publikacji wyniku naboru na stronie internetowej ogłaszającego i/lub przesłania informacji o wynikach konkursu za pośrednictwem poczty elektronicznej. Decyduje data wpływu odwołania.</w:t>
      </w:r>
    </w:p>
    <w:p w14:paraId="7DC8CDC7" w14:textId="77777777" w:rsidR="00F97EBE" w:rsidRDefault="00BB7C41">
      <w:pPr>
        <w:numPr>
          <w:ilvl w:val="2"/>
          <w:numId w:val="11"/>
        </w:numPr>
        <w:spacing w:after="0"/>
        <w:ind w:left="644" w:hanging="281"/>
        <w:rPr>
          <w:rFonts w:cstheme="minorHAnsi"/>
          <w:color w:val="000000" w:themeColor="text1"/>
        </w:rPr>
      </w:pPr>
      <w:r>
        <w:rPr>
          <w:rFonts w:cstheme="minorHAnsi"/>
          <w:color w:val="000000" w:themeColor="text1"/>
        </w:rPr>
        <w:t>Podmiot składa odwołanie w formie i w sposób jak dla złożenia oferty.</w:t>
      </w:r>
    </w:p>
    <w:p w14:paraId="1B8B4940" w14:textId="77777777" w:rsidR="00F97EBE" w:rsidRDefault="00BB7C41">
      <w:pPr>
        <w:numPr>
          <w:ilvl w:val="2"/>
          <w:numId w:val="11"/>
        </w:numPr>
        <w:spacing w:after="0" w:line="266" w:lineRule="auto"/>
        <w:ind w:left="644" w:hanging="281"/>
        <w:rPr>
          <w:rFonts w:cstheme="minorHAnsi"/>
          <w:color w:val="000000" w:themeColor="text1"/>
        </w:rPr>
      </w:pPr>
      <w:r>
        <w:rPr>
          <w:rFonts w:cstheme="minorHAnsi"/>
          <w:color w:val="000000" w:themeColor="text1"/>
        </w:rPr>
        <w:t>Odwołanie rozpatrzy Komisja Konkursowa /odwoławcza. O rozstrzygnięciu odwołania wnoszący zostanie poinformowany za pośrednictwem poczty elektronicznej.</w:t>
      </w:r>
    </w:p>
    <w:p w14:paraId="4985DCC3" w14:textId="77777777" w:rsidR="00F97EBE" w:rsidRDefault="00BB7C41">
      <w:pPr>
        <w:numPr>
          <w:ilvl w:val="2"/>
          <w:numId w:val="11"/>
        </w:numPr>
        <w:spacing w:after="0" w:line="242" w:lineRule="auto"/>
        <w:ind w:left="644" w:hanging="281"/>
        <w:rPr>
          <w:rFonts w:cstheme="minorHAnsi"/>
          <w:color w:val="000000" w:themeColor="text1"/>
        </w:rPr>
      </w:pPr>
      <w:r>
        <w:rPr>
          <w:rFonts w:cstheme="minorHAnsi"/>
          <w:color w:val="000000" w:themeColor="text1"/>
        </w:rPr>
        <w:t>W przypadku uwzględnienia odwołania, jeśli ten fakt będzie miał wpływ na listę rankingową wybranych partnerów, zostanie ona odpowiednio zmieniona, a informacja ta zostanie niezwłocznie przekazana pozostałym oferentom za pośrednictwem poczty elektronicznej oraz opublikowana na stronie internetowej Akademii Tarnowskiej.</w:t>
      </w:r>
    </w:p>
    <w:p w14:paraId="2F730DBE" w14:textId="77777777" w:rsidR="00F97EBE" w:rsidRDefault="00F97EBE">
      <w:pPr>
        <w:spacing w:after="0" w:line="242" w:lineRule="auto"/>
        <w:ind w:left="644"/>
        <w:rPr>
          <w:rFonts w:cstheme="minorHAnsi"/>
          <w:color w:val="000000" w:themeColor="text1"/>
        </w:rPr>
      </w:pPr>
    </w:p>
    <w:p w14:paraId="6BE2F0E3" w14:textId="77777777" w:rsidR="00F97EBE" w:rsidRDefault="00BB7C41">
      <w:pPr>
        <w:pStyle w:val="Akapitzlist"/>
        <w:spacing w:after="278"/>
        <w:ind w:left="360"/>
        <w:rPr>
          <w:rFonts w:cstheme="minorHAnsi"/>
          <w:b/>
          <w:bCs/>
          <w:color w:val="000000" w:themeColor="text1"/>
        </w:rPr>
      </w:pPr>
      <w:r>
        <w:rPr>
          <w:rFonts w:cstheme="minorHAnsi"/>
          <w:b/>
          <w:bCs/>
          <w:color w:val="000000" w:themeColor="text1"/>
        </w:rPr>
        <w:t>VIII. Dodatkowe informacje.</w:t>
      </w:r>
    </w:p>
    <w:p w14:paraId="7C401D83" w14:textId="77777777" w:rsidR="00F97EBE" w:rsidRDefault="00F97EBE">
      <w:pPr>
        <w:pStyle w:val="Akapitzlist"/>
        <w:spacing w:after="278"/>
        <w:ind w:left="360"/>
        <w:rPr>
          <w:rFonts w:cstheme="minorHAnsi"/>
          <w:b/>
          <w:bCs/>
          <w:color w:val="000000" w:themeColor="text1"/>
        </w:rPr>
      </w:pPr>
    </w:p>
    <w:p w14:paraId="42B91DE8" w14:textId="77777777" w:rsidR="00F97EBE" w:rsidRDefault="00BB7C41">
      <w:pPr>
        <w:pStyle w:val="Akapitzlist"/>
        <w:numPr>
          <w:ilvl w:val="0"/>
          <w:numId w:val="12"/>
        </w:numPr>
        <w:spacing w:after="652" w:line="288" w:lineRule="auto"/>
        <w:ind w:right="482"/>
        <w:rPr>
          <w:rFonts w:cstheme="minorHAnsi"/>
          <w:color w:val="000000" w:themeColor="text1"/>
        </w:rPr>
      </w:pPr>
      <w:r>
        <w:rPr>
          <w:rFonts w:cstheme="minorHAnsi"/>
          <w:color w:val="000000" w:themeColor="text1"/>
        </w:rPr>
        <w:t>Akademia Tarnowska zastrzega sobie prawo do negocjowania zakresu i warunków realizacji projektu oraz rozstrzygnięcia niniejszego konkursu bez wyboru oraz unieważnienia konkursu bez podania przyczyny.</w:t>
      </w:r>
    </w:p>
    <w:p w14:paraId="52BD15BC" w14:textId="77777777" w:rsidR="00F97EBE" w:rsidRDefault="00BB7C41">
      <w:pPr>
        <w:spacing w:after="3023"/>
        <w:rPr>
          <w:rFonts w:cstheme="minorHAnsi"/>
          <w:color w:val="000000" w:themeColor="text1"/>
        </w:rPr>
      </w:pPr>
      <w:r>
        <w:rPr>
          <w:rFonts w:cstheme="minorHAnsi"/>
          <w:color w:val="000000" w:themeColor="text1"/>
        </w:rPr>
        <w:t xml:space="preserve">Tarnów, dnia </w:t>
      </w:r>
      <w:r w:rsidRPr="00CD3562">
        <w:rPr>
          <w:rFonts w:cstheme="minorHAnsi"/>
          <w:color w:val="000000" w:themeColor="text1"/>
        </w:rPr>
        <w:t>27.01.2026 r.</w:t>
      </w:r>
    </w:p>
    <w:p w14:paraId="58B9D4CC" w14:textId="6C257BC9" w:rsidR="00A73AA5" w:rsidRDefault="00BB7C41" w:rsidP="00A73AA5">
      <w:pPr>
        <w:spacing w:after="0"/>
        <w:rPr>
          <w:rFonts w:cstheme="minorHAnsi"/>
          <w:color w:val="000000" w:themeColor="text1"/>
        </w:rPr>
      </w:pPr>
      <w:r>
        <w:rPr>
          <w:rFonts w:cstheme="minorHAnsi"/>
          <w:color w:val="000000" w:themeColor="text1"/>
        </w:rPr>
        <w:t>Załączniki:</w:t>
      </w:r>
    </w:p>
    <w:p w14:paraId="4D8B3094" w14:textId="64C0C375" w:rsidR="00F97EBE" w:rsidRDefault="00BB7C41">
      <w:pPr>
        <w:pStyle w:val="Akapitzlist"/>
        <w:numPr>
          <w:ilvl w:val="0"/>
          <w:numId w:val="13"/>
        </w:numPr>
        <w:spacing w:after="0"/>
        <w:rPr>
          <w:rFonts w:cstheme="minorHAnsi"/>
          <w:color w:val="000000" w:themeColor="text1"/>
        </w:rPr>
      </w:pPr>
      <w:r>
        <w:rPr>
          <w:rFonts w:cstheme="minorHAnsi"/>
          <w:color w:val="000000" w:themeColor="text1"/>
        </w:rPr>
        <w:t>Formularz oferty</w:t>
      </w:r>
    </w:p>
    <w:p w14:paraId="37A23464" w14:textId="063C4D72" w:rsidR="00A73AA5" w:rsidRDefault="00A73AA5">
      <w:pPr>
        <w:pStyle w:val="Akapitzlist"/>
        <w:numPr>
          <w:ilvl w:val="0"/>
          <w:numId w:val="13"/>
        </w:numPr>
        <w:spacing w:after="0"/>
        <w:rPr>
          <w:rFonts w:cstheme="minorHAnsi"/>
          <w:color w:val="000000" w:themeColor="text1"/>
        </w:rPr>
      </w:pPr>
      <w:r>
        <w:rPr>
          <w:rFonts w:cstheme="minorHAnsi"/>
          <w:color w:val="000000" w:themeColor="text1"/>
        </w:rPr>
        <w:t>Oświadczeni</w:t>
      </w:r>
      <w:r w:rsidR="00CC0C89">
        <w:rPr>
          <w:rFonts w:cstheme="minorHAnsi"/>
          <w:color w:val="000000" w:themeColor="text1"/>
        </w:rPr>
        <w:t>a</w:t>
      </w:r>
      <w:r>
        <w:rPr>
          <w:rFonts w:cstheme="minorHAnsi"/>
          <w:color w:val="000000" w:themeColor="text1"/>
        </w:rPr>
        <w:t xml:space="preserve"> podmiotu</w:t>
      </w:r>
    </w:p>
    <w:p w14:paraId="5273B35A" w14:textId="5ABA34F2" w:rsidR="00CC0C89" w:rsidRDefault="003B43E6">
      <w:pPr>
        <w:pStyle w:val="Akapitzlist"/>
        <w:numPr>
          <w:ilvl w:val="0"/>
          <w:numId w:val="13"/>
        </w:numPr>
        <w:spacing w:after="0"/>
        <w:rPr>
          <w:rFonts w:cstheme="minorHAnsi"/>
          <w:color w:val="000000" w:themeColor="text1"/>
        </w:rPr>
      </w:pPr>
      <w:r>
        <w:rPr>
          <w:rFonts w:cstheme="minorHAnsi"/>
          <w:color w:val="000000" w:themeColor="text1"/>
        </w:rPr>
        <w:t xml:space="preserve">Klauzula informacyjne </w:t>
      </w:r>
      <w:r w:rsidR="00CC0C89">
        <w:rPr>
          <w:rFonts w:cstheme="minorHAnsi"/>
          <w:color w:val="000000" w:themeColor="text1"/>
        </w:rPr>
        <w:t>RODO AT</w:t>
      </w:r>
    </w:p>
    <w:p w14:paraId="211B8A67" w14:textId="77777777" w:rsidR="00F97EBE" w:rsidRDefault="00F97EBE">
      <w:pPr>
        <w:spacing w:after="0"/>
        <w:rPr>
          <w:rFonts w:cstheme="minorHAnsi"/>
          <w:color w:val="FF0000"/>
        </w:rPr>
      </w:pPr>
    </w:p>
    <w:sectPr w:rsidR="00F97EBE">
      <w:headerReference w:type="even" r:id="rId18"/>
      <w:headerReference w:type="default" r:id="rId19"/>
      <w:headerReference w:type="first" r:id="rId20"/>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8E481" w14:textId="77777777" w:rsidR="00E66062" w:rsidRDefault="00E66062">
      <w:pPr>
        <w:spacing w:after="0" w:line="240" w:lineRule="auto"/>
      </w:pPr>
      <w:r>
        <w:separator/>
      </w:r>
    </w:p>
  </w:endnote>
  <w:endnote w:type="continuationSeparator" w:id="0">
    <w:p w14:paraId="59CE7FE3" w14:textId="77777777" w:rsidR="00E66062" w:rsidRDefault="00E6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4DF3" w14:textId="77777777" w:rsidR="00E66062" w:rsidRDefault="00E66062">
      <w:pPr>
        <w:spacing w:after="0" w:line="240" w:lineRule="auto"/>
      </w:pPr>
      <w:r>
        <w:separator/>
      </w:r>
    </w:p>
  </w:footnote>
  <w:footnote w:type="continuationSeparator" w:id="0">
    <w:p w14:paraId="47B10AB3" w14:textId="77777777" w:rsidR="00E66062" w:rsidRDefault="00E6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268E" w14:textId="77777777" w:rsidR="00F97EBE" w:rsidRDefault="00F97EB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0DDE" w14:textId="77777777" w:rsidR="00F97EBE" w:rsidRDefault="00BB7C41">
    <w:pPr>
      <w:pStyle w:val="Nagwek"/>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DC1E" w14:textId="77777777" w:rsidR="00F97EBE" w:rsidRDefault="00BB7C41">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416A3"/>
    <w:multiLevelType w:val="multilevel"/>
    <w:tmpl w:val="5C7C5596"/>
    <w:lvl w:ilvl="0">
      <w:start w:val="1"/>
      <w:numFmt w:val="decimal"/>
      <w:lvlText w:val="%1."/>
      <w:lvlJc w:val="left"/>
      <w:pPr>
        <w:tabs>
          <w:tab w:val="num" w:pos="0"/>
        </w:tabs>
        <w:ind w:left="720" w:hanging="360"/>
      </w:pPr>
      <w:rPr>
        <w:color w:val="000000" w:themeColor="text1"/>
      </w:r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rPr>
        <w:rFonts w:asciiTheme="minorHAnsi" w:eastAsiaTheme="minorHAnsi" w:hAnsiTheme="minorHAnsi" w:cstheme="minorBidi"/>
      </w:rPr>
    </w:lvl>
    <w:lvl w:ilvl="3">
      <w:start w:val="1"/>
      <w:numFmt w:val="upp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D906C5"/>
    <w:multiLevelType w:val="multilevel"/>
    <w:tmpl w:val="E116A08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288D7039"/>
    <w:multiLevelType w:val="multilevel"/>
    <w:tmpl w:val="16A8935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B621A04"/>
    <w:multiLevelType w:val="multilevel"/>
    <w:tmpl w:val="7520D2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132D9E"/>
    <w:multiLevelType w:val="multilevel"/>
    <w:tmpl w:val="9DBCA7A0"/>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8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tabs>
          <w:tab w:val="num" w:pos="0"/>
        </w:tabs>
        <w:ind w:left="10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0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7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5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2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6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38500F04"/>
    <w:multiLevelType w:val="multilevel"/>
    <w:tmpl w:val="5DF640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894323A"/>
    <w:multiLevelType w:val="multilevel"/>
    <w:tmpl w:val="4DAC4E9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8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tabs>
          <w:tab w:val="num" w:pos="0"/>
        </w:tabs>
        <w:ind w:left="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7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4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1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9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6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3DA473A8"/>
    <w:multiLevelType w:val="multilevel"/>
    <w:tmpl w:val="9E6AB52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51B5395"/>
    <w:multiLevelType w:val="multilevel"/>
    <w:tmpl w:val="60F8866E"/>
    <w:lvl w:ilvl="0">
      <w:start w:val="1"/>
      <w:numFmt w:val="lowerLetter"/>
      <w:lvlText w:val="%1)"/>
      <w:lvlJc w:val="left"/>
      <w:pPr>
        <w:tabs>
          <w:tab w:val="num" w:pos="0"/>
        </w:tabs>
        <w:ind w:left="1080" w:hanging="360"/>
      </w:pPr>
      <w:rPr>
        <w:rFonts w:ascii="Calibri" w:hAnsi="Calibri" w:cs="Times New Roman"/>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53F5330C"/>
    <w:multiLevelType w:val="multilevel"/>
    <w:tmpl w:val="4702AB9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71D40E9"/>
    <w:multiLevelType w:val="multilevel"/>
    <w:tmpl w:val="D4C87CBA"/>
    <w:lvl w:ilvl="0">
      <w:start w:val="1"/>
      <w:numFmt w:val="bullet"/>
      <w:lvlText w:val=""/>
      <w:lvlJc w:val="left"/>
      <w:pPr>
        <w:tabs>
          <w:tab w:val="num" w:pos="0"/>
        </w:tabs>
        <w:ind w:left="1083" w:hanging="360"/>
      </w:pPr>
      <w:rPr>
        <w:rFonts w:ascii="Symbol" w:hAnsi="Symbol" w:cs="Symbol" w:hint="default"/>
      </w:rPr>
    </w:lvl>
    <w:lvl w:ilvl="1">
      <w:start w:val="1"/>
      <w:numFmt w:val="bullet"/>
      <w:lvlText w:val="o"/>
      <w:lvlJc w:val="left"/>
      <w:pPr>
        <w:tabs>
          <w:tab w:val="num" w:pos="0"/>
        </w:tabs>
        <w:ind w:left="1803" w:hanging="360"/>
      </w:pPr>
      <w:rPr>
        <w:rFonts w:ascii="Courier New" w:hAnsi="Courier New" w:cs="Courier New" w:hint="default"/>
      </w:rPr>
    </w:lvl>
    <w:lvl w:ilvl="2">
      <w:start w:val="1"/>
      <w:numFmt w:val="bullet"/>
      <w:lvlText w:val=""/>
      <w:lvlJc w:val="left"/>
      <w:pPr>
        <w:tabs>
          <w:tab w:val="num" w:pos="0"/>
        </w:tabs>
        <w:ind w:left="2523" w:hanging="360"/>
      </w:pPr>
      <w:rPr>
        <w:rFonts w:ascii="Wingdings" w:hAnsi="Wingdings" w:cs="Wingdings" w:hint="default"/>
      </w:rPr>
    </w:lvl>
    <w:lvl w:ilvl="3">
      <w:start w:val="1"/>
      <w:numFmt w:val="bullet"/>
      <w:lvlText w:val=""/>
      <w:lvlJc w:val="left"/>
      <w:pPr>
        <w:tabs>
          <w:tab w:val="num" w:pos="0"/>
        </w:tabs>
        <w:ind w:left="3243" w:hanging="360"/>
      </w:pPr>
      <w:rPr>
        <w:rFonts w:ascii="Symbol" w:hAnsi="Symbol" w:cs="Symbol" w:hint="default"/>
      </w:rPr>
    </w:lvl>
    <w:lvl w:ilvl="4">
      <w:start w:val="1"/>
      <w:numFmt w:val="bullet"/>
      <w:lvlText w:val="o"/>
      <w:lvlJc w:val="left"/>
      <w:pPr>
        <w:tabs>
          <w:tab w:val="num" w:pos="0"/>
        </w:tabs>
        <w:ind w:left="3963" w:hanging="360"/>
      </w:pPr>
      <w:rPr>
        <w:rFonts w:ascii="Courier New" w:hAnsi="Courier New" w:cs="Courier New" w:hint="default"/>
      </w:rPr>
    </w:lvl>
    <w:lvl w:ilvl="5">
      <w:start w:val="1"/>
      <w:numFmt w:val="bullet"/>
      <w:lvlText w:val=""/>
      <w:lvlJc w:val="left"/>
      <w:pPr>
        <w:tabs>
          <w:tab w:val="num" w:pos="0"/>
        </w:tabs>
        <w:ind w:left="4683" w:hanging="360"/>
      </w:pPr>
      <w:rPr>
        <w:rFonts w:ascii="Wingdings" w:hAnsi="Wingdings" w:cs="Wingdings" w:hint="default"/>
      </w:rPr>
    </w:lvl>
    <w:lvl w:ilvl="6">
      <w:start w:val="1"/>
      <w:numFmt w:val="bullet"/>
      <w:lvlText w:val=""/>
      <w:lvlJc w:val="left"/>
      <w:pPr>
        <w:tabs>
          <w:tab w:val="num" w:pos="0"/>
        </w:tabs>
        <w:ind w:left="5403" w:hanging="360"/>
      </w:pPr>
      <w:rPr>
        <w:rFonts w:ascii="Symbol" w:hAnsi="Symbol" w:cs="Symbol" w:hint="default"/>
      </w:rPr>
    </w:lvl>
    <w:lvl w:ilvl="7">
      <w:start w:val="1"/>
      <w:numFmt w:val="bullet"/>
      <w:lvlText w:val="o"/>
      <w:lvlJc w:val="left"/>
      <w:pPr>
        <w:tabs>
          <w:tab w:val="num" w:pos="0"/>
        </w:tabs>
        <w:ind w:left="6123" w:hanging="360"/>
      </w:pPr>
      <w:rPr>
        <w:rFonts w:ascii="Courier New" w:hAnsi="Courier New" w:cs="Courier New" w:hint="default"/>
      </w:rPr>
    </w:lvl>
    <w:lvl w:ilvl="8">
      <w:start w:val="1"/>
      <w:numFmt w:val="bullet"/>
      <w:lvlText w:val=""/>
      <w:lvlJc w:val="left"/>
      <w:pPr>
        <w:tabs>
          <w:tab w:val="num" w:pos="0"/>
        </w:tabs>
        <w:ind w:left="6843" w:hanging="360"/>
      </w:pPr>
      <w:rPr>
        <w:rFonts w:ascii="Wingdings" w:hAnsi="Wingdings" w:cs="Wingdings" w:hint="default"/>
      </w:rPr>
    </w:lvl>
  </w:abstractNum>
  <w:abstractNum w:abstractNumId="11" w15:restartNumberingAfterBreak="0">
    <w:nsid w:val="5BCD1A15"/>
    <w:multiLevelType w:val="multilevel"/>
    <w:tmpl w:val="9168C690"/>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85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4"/>
      <w:numFmt w:val="decimal"/>
      <w:lvlText w:val="%3."/>
      <w:lvlJc w:val="left"/>
      <w:pPr>
        <w:tabs>
          <w:tab w:val="num" w:pos="0"/>
        </w:tabs>
        <w:ind w:left="994" w:firstLine="0"/>
      </w:pPr>
      <w:rPr>
        <w:rFonts w:ascii="Times New Roman" w:eastAsia="Times New Roman" w:hAnsi="Times New Roman" w:cs="Times New Roman"/>
        <w:b w:val="0"/>
        <w:i w:val="0"/>
        <w:strike w:val="0"/>
        <w:dstrike w:val="0"/>
        <w:color w:val="auto"/>
        <w:position w:val="0"/>
        <w:sz w:val="22"/>
        <w:szCs w:val="22"/>
        <w:u w:val="none" w:color="000000"/>
        <w:shd w:val="clear" w:color="auto" w:fill="auto"/>
        <w:vertAlign w:val="baseline"/>
      </w:rPr>
    </w:lvl>
    <w:lvl w:ilvl="3">
      <w:start w:val="1"/>
      <w:numFmt w:val="decimal"/>
      <w:lvlText w:val="%4"/>
      <w:lvlJc w:val="left"/>
      <w:pPr>
        <w:tabs>
          <w:tab w:val="num" w:pos="0"/>
        </w:tabs>
        <w:ind w:left="207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79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51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2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95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67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5D4E4E09"/>
    <w:multiLevelType w:val="multilevel"/>
    <w:tmpl w:val="06728800"/>
    <w:lvl w:ilvl="0">
      <w:start w:val="1"/>
      <w:numFmt w:val="decimal"/>
      <w:lvlText w:val="%1."/>
      <w:lvlJc w:val="left"/>
      <w:pPr>
        <w:tabs>
          <w:tab w:val="num" w:pos="0"/>
        </w:tabs>
        <w:ind w:left="723" w:hanging="360"/>
      </w:p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15:restartNumberingAfterBreak="0">
    <w:nsid w:val="69B519E6"/>
    <w:multiLevelType w:val="multilevel"/>
    <w:tmpl w:val="60F4DD4E"/>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tabs>
          <w:tab w:val="num" w:pos="0"/>
        </w:tabs>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2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9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6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6DE370C2"/>
    <w:multiLevelType w:val="multilevel"/>
    <w:tmpl w:val="251061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95176E"/>
    <w:multiLevelType w:val="multilevel"/>
    <w:tmpl w:val="34A2AC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2"/>
  </w:num>
  <w:num w:numId="3">
    <w:abstractNumId w:val="7"/>
  </w:num>
  <w:num w:numId="4">
    <w:abstractNumId w:val="0"/>
  </w:num>
  <w:num w:numId="5">
    <w:abstractNumId w:val="14"/>
  </w:num>
  <w:num w:numId="6">
    <w:abstractNumId w:val="13"/>
  </w:num>
  <w:num w:numId="7">
    <w:abstractNumId w:val="11"/>
  </w:num>
  <w:num w:numId="8">
    <w:abstractNumId w:val="6"/>
  </w:num>
  <w:num w:numId="9">
    <w:abstractNumId w:val="10"/>
  </w:num>
  <w:num w:numId="10">
    <w:abstractNumId w:val="1"/>
  </w:num>
  <w:num w:numId="11">
    <w:abstractNumId w:val="4"/>
  </w:num>
  <w:num w:numId="12">
    <w:abstractNumId w:val="3"/>
  </w:num>
  <w:num w:numId="13">
    <w:abstractNumId w:val="5"/>
  </w:num>
  <w:num w:numId="14">
    <w:abstractNumId w:val="8"/>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BE"/>
    <w:rsid w:val="00102EF4"/>
    <w:rsid w:val="0033001B"/>
    <w:rsid w:val="003B43E6"/>
    <w:rsid w:val="003F4B70"/>
    <w:rsid w:val="00737B13"/>
    <w:rsid w:val="007F5CB2"/>
    <w:rsid w:val="008830BD"/>
    <w:rsid w:val="009332DC"/>
    <w:rsid w:val="00A4450C"/>
    <w:rsid w:val="00A73623"/>
    <w:rsid w:val="00A73AA5"/>
    <w:rsid w:val="00AE6232"/>
    <w:rsid w:val="00B033D3"/>
    <w:rsid w:val="00B451ED"/>
    <w:rsid w:val="00BB7C41"/>
    <w:rsid w:val="00BD07D3"/>
    <w:rsid w:val="00CC0C89"/>
    <w:rsid w:val="00CD3562"/>
    <w:rsid w:val="00CE1CC8"/>
    <w:rsid w:val="00D233E5"/>
    <w:rsid w:val="00D73840"/>
    <w:rsid w:val="00E334C1"/>
    <w:rsid w:val="00E66062"/>
    <w:rsid w:val="00F97EB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C415"/>
  <w15:docId w15:val="{BEB226D1-2762-443F-9BB7-0620360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A16C5"/>
    <w:rPr>
      <w:color w:val="0000FF"/>
      <w:u w:val="single"/>
    </w:rPr>
  </w:style>
  <w:style w:type="character" w:customStyle="1" w:styleId="NagwekZnak">
    <w:name w:val="Nagłówek Znak"/>
    <w:basedOn w:val="Domylnaczcionkaakapitu"/>
    <w:link w:val="Nagwek"/>
    <w:uiPriority w:val="99"/>
    <w:qFormat/>
    <w:rsid w:val="005E03FD"/>
  </w:style>
  <w:style w:type="character" w:customStyle="1" w:styleId="StopkaZnak">
    <w:name w:val="Stopka Znak"/>
    <w:basedOn w:val="Domylnaczcionkaakapitu"/>
    <w:link w:val="Stopka"/>
    <w:uiPriority w:val="99"/>
    <w:qFormat/>
    <w:rsid w:val="005E03FD"/>
  </w:style>
  <w:style w:type="character" w:styleId="Pogrubienie">
    <w:name w:val="Strong"/>
    <w:basedOn w:val="Domylnaczcionkaakapitu"/>
    <w:uiPriority w:val="22"/>
    <w:qFormat/>
    <w:rsid w:val="008A2DFD"/>
    <w:rPr>
      <w:b/>
      <w:bCs/>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styleId="Bezodstpw">
    <w:name w:val="No Spacing"/>
    <w:uiPriority w:val="1"/>
    <w:qFormat/>
    <w:rsid w:val="003943E8"/>
  </w:style>
  <w:style w:type="paragraph" w:customStyle="1" w:styleId="NCBRnormalnywcicie">
    <w:name w:val="NCBR_normalny_wcięcie"/>
    <w:basedOn w:val="Normalny"/>
    <w:qFormat/>
    <w:rsid w:val="007A16C5"/>
    <w:pPr>
      <w:spacing w:after="0" w:line="300" w:lineRule="exact"/>
      <w:ind w:left="454" w:hanging="454"/>
      <w:contextualSpacing/>
    </w:pPr>
    <w:rPr>
      <w:rFonts w:ascii="Lato" w:eastAsia="Arial" w:hAnsi="Lato" w:cs="Arial"/>
      <w:color w:val="000000"/>
    </w:rPr>
  </w:style>
  <w:style w:type="paragraph" w:customStyle="1" w:styleId="Default">
    <w:name w:val="Default"/>
    <w:qFormat/>
    <w:rsid w:val="0069696B"/>
    <w:rPr>
      <w:rFonts w:ascii="Calibri" w:eastAsia="Calibri" w:hAnsi="Calibri" w:cs="Calibri"/>
      <w:color w:val="000000"/>
      <w:sz w:val="24"/>
      <w:szCs w:val="24"/>
    </w:rPr>
  </w:style>
  <w:style w:type="paragraph" w:styleId="Akapitzlist">
    <w:name w:val="List Paragraph"/>
    <w:basedOn w:val="Normalny"/>
    <w:uiPriority w:val="34"/>
    <w:qFormat/>
    <w:rsid w:val="00443976"/>
    <w:pPr>
      <w:ind w:left="720"/>
      <w:contextualSpacing/>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5E03FD"/>
    <w:pPr>
      <w:tabs>
        <w:tab w:val="center" w:pos="4536"/>
        <w:tab w:val="right" w:pos="9072"/>
      </w:tabs>
      <w:spacing w:after="0" w:line="240" w:lineRule="auto"/>
    </w:pPr>
  </w:style>
  <w:style w:type="paragraph" w:styleId="Stopka">
    <w:name w:val="footer"/>
    <w:basedOn w:val="Normalny"/>
    <w:link w:val="StopkaZnak"/>
    <w:uiPriority w:val="99"/>
    <w:unhideWhenUsed/>
    <w:rsid w:val="005E03FD"/>
    <w:pPr>
      <w:tabs>
        <w:tab w:val="center" w:pos="4536"/>
        <w:tab w:val="right" w:pos="9072"/>
      </w:tabs>
      <w:spacing w:after="0" w:line="240" w:lineRule="auto"/>
    </w:pPr>
  </w:style>
  <w:style w:type="character" w:styleId="Nierozpoznanawzmianka">
    <w:name w:val="Unresolved Mention"/>
    <w:basedOn w:val="Domylnaczcionkaakapitu"/>
    <w:uiPriority w:val="99"/>
    <w:semiHidden/>
    <w:unhideWhenUsed/>
    <w:rsid w:val="00CD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j_sobota@atar.edu.pl" TargetMode="External"/><Relationship Id="rId2" Type="http://schemas.openxmlformats.org/officeDocument/2006/relationships/numbering" Target="numbering.xml"/><Relationship Id="rId16" Type="http://schemas.openxmlformats.org/officeDocument/2006/relationships/hyperlink" Target="mailto:m_swider@atar.edu.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_krol@atar.edu.pl"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ancelaria@atar.edu.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CC67-97AB-43C4-8B20-8C1B6867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2267</Words>
  <Characters>13603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Akademia Nauk Stosowanych w Tarnowie</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BKPiW</dc:creator>
  <dc:description/>
  <cp:lastModifiedBy>Sebastian Bielecki</cp:lastModifiedBy>
  <cp:revision>2</cp:revision>
  <cp:lastPrinted>2026-01-16T13:45:00Z</cp:lastPrinted>
  <dcterms:created xsi:type="dcterms:W3CDTF">2026-01-27T07:23:00Z</dcterms:created>
  <dcterms:modified xsi:type="dcterms:W3CDTF">2026-01-27T07:23:00Z</dcterms:modified>
  <dc:language>pl-PL</dc:language>
</cp:coreProperties>
</file>