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9" w:rsidRPr="00D8190B" w:rsidRDefault="00D8190B" w:rsidP="00D8190B">
      <w:pPr>
        <w:pStyle w:val="Normalny1"/>
        <w:spacing w:line="360" w:lineRule="auto"/>
        <w:ind w:left="-425" w:right="-397"/>
        <w:jc w:val="right"/>
        <w:rPr>
          <w:rFonts w:eastAsia="Calibri" w:cs="Times New Roman"/>
          <w:szCs w:val="24"/>
        </w:rPr>
      </w:pPr>
      <w:r w:rsidRPr="00D8190B">
        <w:rPr>
          <w:rFonts w:eastAsia="Calibri" w:cs="Times New Roman"/>
          <w:szCs w:val="24"/>
        </w:rPr>
        <w:t>Tarnów, 2025r.</w:t>
      </w:r>
    </w:p>
    <w:p w:rsidR="00D8190B" w:rsidRPr="00D8190B" w:rsidRDefault="00D8190B" w:rsidP="00D8190B">
      <w:pPr>
        <w:pStyle w:val="Normalny1"/>
        <w:spacing w:line="360" w:lineRule="auto"/>
        <w:ind w:left="-425" w:right="-397"/>
        <w:jc w:val="center"/>
        <w:rPr>
          <w:rFonts w:cs="Times New Roman"/>
          <w:szCs w:val="24"/>
        </w:rPr>
      </w:pPr>
    </w:p>
    <w:p w:rsidR="00D8190B" w:rsidRPr="00D8190B" w:rsidRDefault="000E1FCF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>
        <w:rPr>
          <w:rFonts w:cs="Times New Roman"/>
          <w:b/>
          <w:color w:val="17365D" w:themeColor="text2" w:themeShade="BF"/>
          <w:szCs w:val="24"/>
        </w:rPr>
        <w:t>Z</w:t>
      </w:r>
      <w:r w:rsidR="00D8190B" w:rsidRPr="00D8190B">
        <w:rPr>
          <w:rFonts w:cs="Times New Roman"/>
          <w:b/>
          <w:color w:val="17365D" w:themeColor="text2" w:themeShade="BF"/>
          <w:szCs w:val="24"/>
        </w:rPr>
        <w:t xml:space="preserve">asady przygotowania pracy </w:t>
      </w:r>
      <w:r w:rsidR="00FE5E1D">
        <w:rPr>
          <w:rFonts w:cs="Times New Roman"/>
          <w:b/>
          <w:color w:val="17365D" w:themeColor="text2" w:themeShade="BF"/>
          <w:szCs w:val="24"/>
        </w:rPr>
        <w:t>dyplomowej na kierunku studiów</w:t>
      </w:r>
    </w:p>
    <w:p w:rsidR="00D8190B" w:rsidRDefault="00FE5E1D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 w:rsidRPr="00D8190B">
        <w:rPr>
          <w:rFonts w:cs="Times New Roman"/>
          <w:b/>
          <w:color w:val="17365D" w:themeColor="text2" w:themeShade="BF"/>
          <w:szCs w:val="24"/>
        </w:rPr>
        <w:t>Pedagogika przedszkolna i wczesnoszkolna</w:t>
      </w:r>
    </w:p>
    <w:p w:rsidR="000D604E" w:rsidRDefault="000D604E" w:rsidP="000D604E">
      <w:pPr>
        <w:pStyle w:val="Normalny1"/>
        <w:rPr>
          <w:rFonts w:cs="Times New Roman"/>
          <w:b/>
          <w:color w:val="17365D" w:themeColor="text2" w:themeShade="BF"/>
          <w:szCs w:val="24"/>
        </w:rPr>
      </w:pPr>
    </w:p>
    <w:p w:rsidR="000D604E" w:rsidRPr="003628E8" w:rsidRDefault="000D604E" w:rsidP="000D604E">
      <w:pPr>
        <w:pStyle w:val="Normalny1"/>
        <w:rPr>
          <w:b/>
          <w:color w:val="365F91" w:themeColor="accent1" w:themeShade="BF"/>
        </w:rPr>
      </w:pPr>
      <w:r w:rsidRPr="003628E8">
        <w:rPr>
          <w:b/>
          <w:color w:val="365F91" w:themeColor="accent1" w:themeShade="BF"/>
        </w:rPr>
        <w:t>Spis treści</w:t>
      </w:r>
    </w:p>
    <w:p w:rsidR="0042183F" w:rsidRDefault="009069DB">
      <w:pPr>
        <w:pStyle w:val="Spistreci1"/>
        <w:tabs>
          <w:tab w:val="left" w:pos="44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r w:rsidRPr="009069DB">
        <w:fldChar w:fldCharType="begin"/>
      </w:r>
      <w:r w:rsidR="00066277">
        <w:instrText xml:space="preserve"> TOC \o "1-2" \h \z \u </w:instrText>
      </w:r>
      <w:r w:rsidRPr="009069DB">
        <w:fldChar w:fldCharType="separate"/>
      </w:r>
      <w:hyperlink w:anchor="_Toc216162311" w:history="1">
        <w:r w:rsidR="0042183F" w:rsidRPr="00660501">
          <w:rPr>
            <w:rStyle w:val="Hipercze"/>
            <w:noProof/>
          </w:rPr>
          <w:t>I.</w:t>
        </w:r>
        <w:r w:rsidR="0042183F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2183F" w:rsidRPr="00660501">
          <w:rPr>
            <w:rStyle w:val="Hipercze"/>
            <w:noProof/>
          </w:rPr>
          <w:t>Wymogi merytoryczne pracy</w:t>
        </w:r>
        <w:r w:rsidR="0042183F">
          <w:rPr>
            <w:noProof/>
            <w:webHidden/>
          </w:rPr>
          <w:tab/>
        </w:r>
        <w:r w:rsidR="0042183F">
          <w:rPr>
            <w:noProof/>
            <w:webHidden/>
          </w:rPr>
          <w:fldChar w:fldCharType="begin"/>
        </w:r>
        <w:r w:rsidR="0042183F">
          <w:rPr>
            <w:noProof/>
            <w:webHidden/>
          </w:rPr>
          <w:instrText xml:space="preserve"> PAGEREF _Toc216162311 \h </w:instrText>
        </w:r>
        <w:r w:rsidR="0042183F">
          <w:rPr>
            <w:noProof/>
            <w:webHidden/>
          </w:rPr>
        </w:r>
        <w:r w:rsidR="0042183F">
          <w:rPr>
            <w:noProof/>
            <w:webHidden/>
          </w:rPr>
          <w:fldChar w:fldCharType="separate"/>
        </w:r>
        <w:r w:rsidR="0042183F">
          <w:rPr>
            <w:noProof/>
            <w:webHidden/>
          </w:rPr>
          <w:t>1</w:t>
        </w:r>
        <w:r w:rsidR="0042183F">
          <w:rPr>
            <w:noProof/>
            <w:webHidden/>
          </w:rPr>
          <w:fldChar w:fldCharType="end"/>
        </w:r>
      </w:hyperlink>
    </w:p>
    <w:p w:rsidR="0042183F" w:rsidRDefault="0042183F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312" w:history="1">
        <w:r w:rsidRPr="00660501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660501">
          <w:rPr>
            <w:rStyle w:val="Hipercze"/>
            <w:noProof/>
          </w:rPr>
          <w:t>Wymogi formalne i techniczne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183F" w:rsidRDefault="0042183F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313" w:history="1">
        <w:r w:rsidRPr="00660501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660501">
          <w:rPr>
            <w:rStyle w:val="Hipercze"/>
            <w:noProof/>
          </w:rPr>
          <w:t>Przypisy i 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2183F" w:rsidRDefault="0042183F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314" w:history="1">
        <w:r w:rsidRPr="00660501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660501">
          <w:rPr>
            <w:rStyle w:val="Hipercze"/>
            <w:noProof/>
          </w:rPr>
          <w:t>Aneks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183F" w:rsidRDefault="0042183F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315" w:history="1">
        <w:r w:rsidRPr="00660501">
          <w:rPr>
            <w:rStyle w:val="Hipercze"/>
            <w:noProof/>
          </w:rPr>
          <w:t>Wzór strony tytułowej pracy dyplomowej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183F" w:rsidRDefault="0042183F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316" w:history="1">
        <w:r w:rsidRPr="00660501">
          <w:rPr>
            <w:rStyle w:val="Hipercze"/>
            <w:noProof/>
          </w:rPr>
          <w:t>Wzór opisu płyty CD/DVD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D604E" w:rsidRPr="00D8190B" w:rsidRDefault="009069DB" w:rsidP="00066277">
      <w:r>
        <w:fldChar w:fldCharType="end"/>
      </w:r>
    </w:p>
    <w:p w:rsidR="00D8190B" w:rsidRPr="004B4225" w:rsidRDefault="004B4225" w:rsidP="004B4225">
      <w:pPr>
        <w:pStyle w:val="Nagwek1"/>
      </w:pPr>
      <w:bookmarkStart w:id="0" w:name="_Toc212655830"/>
      <w:bookmarkStart w:id="1" w:name="_Toc216162311"/>
      <w:r w:rsidRPr="004B4225">
        <w:t>Wymogi merytoryczne</w:t>
      </w:r>
      <w:r w:rsidR="00403C86">
        <w:t xml:space="preserve"> pracy</w:t>
      </w:r>
      <w:bookmarkEnd w:id="0"/>
      <w:bookmarkEnd w:id="1"/>
    </w:p>
    <w:p w:rsidR="000E1FCF" w:rsidRDefault="00B44517" w:rsidP="000E1FCF">
      <w:pPr>
        <w:pStyle w:val="Normalny1"/>
        <w:numPr>
          <w:ilvl w:val="0"/>
          <w:numId w:val="19"/>
        </w:numPr>
      </w:pPr>
      <w:r w:rsidRPr="00B44517">
        <w:t xml:space="preserve">Praca dyplomowa kończy cykl kształcenia na studiach jednolitych magisterskich. Jest ona najważniejszą samodzielną pracą </w:t>
      </w:r>
      <w:r w:rsidR="00FE5E1D">
        <w:t>S</w:t>
      </w:r>
      <w:r w:rsidRPr="00B44517">
        <w:t xml:space="preserve">tudenta. Student powinien w pracy wykazać się osiągniętymi efektami uczenia się zdobytymi i ukształtowanymi podczas zajęć dydaktycznych </w:t>
      </w:r>
      <w:r>
        <w:t xml:space="preserve">i praktyk zawodowych </w:t>
      </w:r>
      <w:r w:rsidRPr="00B44517">
        <w:t>w czasie studiów.</w:t>
      </w:r>
    </w:p>
    <w:p w:rsidR="000E1FCF" w:rsidRDefault="000E1FCF" w:rsidP="000E1FCF">
      <w:pPr>
        <w:pStyle w:val="Normalny1"/>
        <w:numPr>
          <w:ilvl w:val="0"/>
          <w:numId w:val="19"/>
        </w:numPr>
      </w:pPr>
      <w:r w:rsidRPr="000E1FCF">
        <w:t xml:space="preserve">Praca dyplomowa na profilu praktycznym powinna mieć charakter aplikacyjny, badawczy, projektowy lub oceniający praktykę </w:t>
      </w:r>
      <w:r w:rsidR="00FE5E1D">
        <w:t xml:space="preserve">zawodową </w:t>
      </w:r>
      <w:r w:rsidRPr="000E1FCF">
        <w:t>w świetle teorii.</w:t>
      </w:r>
    </w:p>
    <w:p w:rsidR="000E1FCF" w:rsidRDefault="000E1FCF" w:rsidP="00CB6858">
      <w:pPr>
        <w:pStyle w:val="Normalny1"/>
        <w:numPr>
          <w:ilvl w:val="0"/>
          <w:numId w:val="19"/>
        </w:numPr>
      </w:pPr>
      <w:r>
        <w:t>Temat pracy dyplomowej powinien być konkretny i dotyczyć jasno wyodrębnionego</w:t>
      </w:r>
      <w:r w:rsidR="00CB6858">
        <w:t xml:space="preserve"> </w:t>
      </w:r>
      <w:r>
        <w:t>zagadnienia. Problematyka pracy dyplomowej powinna być związana z profilem</w:t>
      </w:r>
      <w:r w:rsidR="00CB6858">
        <w:t xml:space="preserve"> studiowanego kierunku </w:t>
      </w:r>
      <w:r w:rsidR="00FE5E1D">
        <w:t xml:space="preserve">studiów </w:t>
      </w:r>
      <w:r w:rsidR="00CB6858">
        <w:t>i treściami nauczanymi.</w:t>
      </w:r>
    </w:p>
    <w:p w:rsidR="000E1FCF" w:rsidRDefault="000E1FCF" w:rsidP="000E1FCF">
      <w:pPr>
        <w:pStyle w:val="Normalny1"/>
        <w:numPr>
          <w:ilvl w:val="0"/>
          <w:numId w:val="19"/>
        </w:numPr>
      </w:pPr>
      <w:r>
        <w:t>Treść pracy powinna być zgodna z tytułem pracy.</w:t>
      </w:r>
    </w:p>
    <w:p w:rsidR="000E1FCF" w:rsidRPr="000E1FCF" w:rsidRDefault="000E1FCF" w:rsidP="000E1FCF">
      <w:pPr>
        <w:pStyle w:val="Normalny1"/>
        <w:numPr>
          <w:ilvl w:val="0"/>
          <w:numId w:val="19"/>
        </w:numPr>
      </w:pPr>
      <w:r>
        <w:t>Praca powinna zawierać wyraźne określenie celu, odniesienie do literatury przedmiotu, opis</w:t>
      </w:r>
      <w:r w:rsidR="00CB6858">
        <w:t xml:space="preserve"> </w:t>
      </w:r>
      <w:r>
        <w:t>sposobu realizacji celu (np. zastosowane metody, techniki, narzędzia badawcze),</w:t>
      </w:r>
      <w:r w:rsidR="00CB6858">
        <w:t xml:space="preserve"> </w:t>
      </w:r>
      <w:r>
        <w:t>sformułowanie wniosków</w:t>
      </w:r>
      <w:r w:rsidR="006A50AE">
        <w:t xml:space="preserve"> oraz rekomendacji </w:t>
      </w:r>
      <w:r w:rsidR="00E47B56" w:rsidRPr="00E47B56">
        <w:t>do</w:t>
      </w:r>
      <w:r w:rsidR="00E47B56">
        <w:t xml:space="preserve"> zastosowania w</w:t>
      </w:r>
      <w:r w:rsidR="006A50AE">
        <w:t xml:space="preserve"> prakty</w:t>
      </w:r>
      <w:r w:rsidR="00E47B56">
        <w:t>ce</w:t>
      </w:r>
      <w:r w:rsidR="006A50AE">
        <w:t xml:space="preserve"> zawodowej</w:t>
      </w:r>
      <w:r>
        <w:t xml:space="preserve"> na podstawie </w:t>
      </w:r>
      <w:r w:rsidR="003C7119">
        <w:t xml:space="preserve">analizy wyników </w:t>
      </w:r>
      <w:r>
        <w:t>przeprowadzon</w:t>
      </w:r>
      <w:r w:rsidR="00B86F32">
        <w:t>ych badań</w:t>
      </w:r>
      <w:r>
        <w:t>.</w:t>
      </w:r>
    </w:p>
    <w:p w:rsidR="00D8190B" w:rsidRPr="00403C86" w:rsidRDefault="00403C86" w:rsidP="000E1FCF">
      <w:pPr>
        <w:pStyle w:val="Nagwek1"/>
      </w:pPr>
      <w:bookmarkStart w:id="2" w:name="_Toc212655831"/>
      <w:bookmarkStart w:id="3" w:name="_Toc216162312"/>
      <w:r>
        <w:t xml:space="preserve">Wymogi </w:t>
      </w:r>
      <w:r w:rsidR="00CB6858">
        <w:t>formalne i techniczn</w:t>
      </w:r>
      <w:bookmarkEnd w:id="2"/>
      <w:r w:rsidR="00FE5E1D">
        <w:t>e</w:t>
      </w:r>
      <w:bookmarkEnd w:id="3"/>
    </w:p>
    <w:p w:rsidR="00403C86" w:rsidRDefault="00403C86" w:rsidP="00403C86">
      <w:pPr>
        <w:pStyle w:val="Normalny1"/>
        <w:numPr>
          <w:ilvl w:val="0"/>
          <w:numId w:val="17"/>
        </w:numPr>
      </w:pPr>
      <w:r>
        <w:t>Praca dyplomowa powinna posiadać stronę tytułową wg wzoru (</w:t>
      </w:r>
      <w:r w:rsidR="00CB6858">
        <w:t>wzór w aneksie</w:t>
      </w:r>
      <w:r>
        <w:t>).</w:t>
      </w:r>
    </w:p>
    <w:p w:rsidR="00403C86" w:rsidRDefault="008D6335" w:rsidP="00403C86">
      <w:pPr>
        <w:pStyle w:val="Normalny1"/>
        <w:numPr>
          <w:ilvl w:val="0"/>
          <w:numId w:val="17"/>
        </w:numPr>
      </w:pPr>
      <w:r>
        <w:t>Objętość pracy ustalana jest z Promotorem</w:t>
      </w:r>
      <w:r w:rsidR="009845B6">
        <w:t xml:space="preserve">, format </w:t>
      </w:r>
      <w:r w:rsidR="00403C86">
        <w:rPr>
          <w:caps/>
        </w:rPr>
        <w:t>A4</w:t>
      </w:r>
      <w:r>
        <w:rPr>
          <w:caps/>
        </w:rPr>
        <w:t>.</w:t>
      </w:r>
    </w:p>
    <w:p w:rsidR="0042704A" w:rsidRPr="0042704A" w:rsidRDefault="00403C86" w:rsidP="00403C86">
      <w:pPr>
        <w:pStyle w:val="Normalny1"/>
        <w:numPr>
          <w:ilvl w:val="0"/>
          <w:numId w:val="17"/>
        </w:numPr>
      </w:pPr>
      <w:proofErr w:type="spellStart"/>
      <w:r w:rsidRPr="00D7735C">
        <w:rPr>
          <w:lang w:val="en-GB"/>
        </w:rPr>
        <w:t>Preferowana</w:t>
      </w:r>
      <w:proofErr w:type="spellEnd"/>
      <w:r w:rsidRPr="008D6335">
        <w:rPr>
          <w:lang w:val="en-GB"/>
        </w:rPr>
        <w:t xml:space="preserve"> </w:t>
      </w:r>
      <w:proofErr w:type="spellStart"/>
      <w:r w:rsidRPr="00D7735C">
        <w:rPr>
          <w:lang w:val="en-GB"/>
        </w:rPr>
        <w:t>czcionka</w:t>
      </w:r>
      <w:proofErr w:type="spellEnd"/>
      <w:r w:rsidR="00DC4E3A">
        <w:rPr>
          <w:lang w:val="en-GB"/>
        </w:rPr>
        <w:t xml:space="preserve"> </w:t>
      </w:r>
      <w:proofErr w:type="spellStart"/>
      <w:r w:rsidR="00DC4E3A">
        <w:rPr>
          <w:lang w:val="en-GB"/>
        </w:rPr>
        <w:t>tekstu</w:t>
      </w:r>
      <w:proofErr w:type="spellEnd"/>
      <w:r w:rsidR="00FE5E1D">
        <w:rPr>
          <w:lang w:val="en-GB"/>
        </w:rPr>
        <w:t>:</w:t>
      </w:r>
      <w:r w:rsidRPr="008D6335">
        <w:rPr>
          <w:lang w:val="en-GB"/>
        </w:rPr>
        <w:t xml:space="preserve"> Times New Roman 12 p., </w:t>
      </w:r>
      <w:proofErr w:type="spellStart"/>
      <w:r w:rsidRPr="008D6335">
        <w:rPr>
          <w:lang w:val="en-GB"/>
        </w:rPr>
        <w:t>interlinia</w:t>
      </w:r>
      <w:proofErr w:type="spellEnd"/>
      <w:r w:rsidRPr="008D6335">
        <w:rPr>
          <w:lang w:val="en-GB"/>
        </w:rPr>
        <w:t xml:space="preserve"> 1</w:t>
      </w:r>
      <w:proofErr w:type="gramStart"/>
      <w:r w:rsidRPr="008D6335">
        <w:rPr>
          <w:lang w:val="en-GB"/>
        </w:rPr>
        <w:t>,5</w:t>
      </w:r>
      <w:proofErr w:type="gramEnd"/>
      <w:r w:rsidRPr="008D6335">
        <w:rPr>
          <w:lang w:val="en-GB"/>
        </w:rPr>
        <w:t xml:space="preserve">. </w:t>
      </w:r>
    </w:p>
    <w:p w:rsidR="00403C86" w:rsidRDefault="00403C86" w:rsidP="00403C86">
      <w:pPr>
        <w:pStyle w:val="Normalny1"/>
        <w:numPr>
          <w:ilvl w:val="0"/>
          <w:numId w:val="17"/>
        </w:numPr>
      </w:pPr>
      <w:r>
        <w:t>Źródła pod tabelami</w:t>
      </w:r>
      <w:r w:rsidR="00FE5E1D">
        <w:t>,</w:t>
      </w:r>
      <w:r>
        <w:t xml:space="preserve"> rysunkami </w:t>
      </w:r>
      <w:r w:rsidR="00FE5E1D">
        <w:t xml:space="preserve">i zdjęciami: </w:t>
      </w:r>
      <w:r>
        <w:t>czcionka Times New Roman 10 p., interlinia 1,0.</w:t>
      </w:r>
    </w:p>
    <w:p w:rsidR="00403C86" w:rsidRDefault="00403C86" w:rsidP="00403C86">
      <w:pPr>
        <w:pStyle w:val="Normalny1"/>
        <w:numPr>
          <w:ilvl w:val="0"/>
          <w:numId w:val="17"/>
        </w:numPr>
      </w:pPr>
      <w:bookmarkStart w:id="4" w:name="_GoBack"/>
      <w:bookmarkEnd w:id="4"/>
      <w:r>
        <w:t xml:space="preserve">Marginesy: lewy – 2,5 cm; prawy - 1,5 cm, górny – 2,5 cm, dolny - 2,5 cm, na </w:t>
      </w:r>
      <w:proofErr w:type="gramStart"/>
      <w:r>
        <w:t>oprawę     1 cm</w:t>
      </w:r>
      <w:proofErr w:type="gramEnd"/>
      <w:r>
        <w:t>.</w:t>
      </w:r>
    </w:p>
    <w:p w:rsidR="00403C86" w:rsidRDefault="00403C86" w:rsidP="00403C86">
      <w:pPr>
        <w:pStyle w:val="Normalny1"/>
        <w:numPr>
          <w:ilvl w:val="0"/>
          <w:numId w:val="17"/>
        </w:numPr>
      </w:pPr>
      <w:r>
        <w:t>Każdy nowy rozdział powinien znajdować się na nowej stronie. Podrozdziały mogą występować w tekście na stronie.</w:t>
      </w:r>
    </w:p>
    <w:p w:rsidR="00403C86" w:rsidRDefault="00403C86" w:rsidP="00403C86">
      <w:pPr>
        <w:pStyle w:val="Normalny1"/>
        <w:numPr>
          <w:ilvl w:val="0"/>
          <w:numId w:val="17"/>
        </w:numPr>
      </w:pPr>
      <w:r>
        <w:t xml:space="preserve">Tytuły rozdziałów: </w:t>
      </w:r>
      <w:r w:rsidR="00FE5E1D">
        <w:t>c</w:t>
      </w:r>
      <w:r>
        <w:t xml:space="preserve">zcionka Times New Roman 14 p., </w:t>
      </w:r>
      <w:r w:rsidR="00FE5E1D">
        <w:t xml:space="preserve">tekst </w:t>
      </w:r>
      <w:r>
        <w:t>pogrubiony, podrozdziały 12 p. pogrubione.</w:t>
      </w:r>
    </w:p>
    <w:p w:rsidR="00CB6858" w:rsidRDefault="00403C86" w:rsidP="00CB6858">
      <w:pPr>
        <w:pStyle w:val="Normalny1"/>
        <w:numPr>
          <w:ilvl w:val="0"/>
          <w:numId w:val="17"/>
        </w:numPr>
      </w:pPr>
      <w:r>
        <w:t>Numerowanie stron na dole strony: pośrodku.</w:t>
      </w:r>
    </w:p>
    <w:p w:rsidR="00CB6858" w:rsidRDefault="00CB6858" w:rsidP="00CB6858">
      <w:pPr>
        <w:pStyle w:val="Normalny1"/>
        <w:numPr>
          <w:ilvl w:val="0"/>
          <w:numId w:val="17"/>
        </w:numPr>
      </w:pPr>
      <w:r>
        <w:t>Wzór tabel, rysunków, wykresów</w:t>
      </w:r>
      <w:r w:rsidR="00FE5E1D">
        <w:t>, zdjęć: tytuły –</w:t>
      </w:r>
      <w:r>
        <w:t xml:space="preserve"> czcionka Times New Roman 11 pkt. pogrubiona, bez wcięcia, wyrównane do środka</w:t>
      </w:r>
      <w:r w:rsidR="00192E95">
        <w:t>, odstępy przed i po akapicie 12 p</w:t>
      </w:r>
      <w:r>
        <w:t xml:space="preserve">. Tytuł </w:t>
      </w:r>
      <w:r>
        <w:lastRenderedPageBreak/>
        <w:t>i numer umieszczony nad tabelą, rysunkiem, wykresem</w:t>
      </w:r>
      <w:r w:rsidR="00FE5E1D">
        <w:t>, zdjęciem</w:t>
      </w:r>
      <w:r>
        <w:t>. Numeracja narastająca od początku pracy oddzielna dla: tabel, rysunków, wykresów</w:t>
      </w:r>
      <w:r w:rsidR="00FE5E1D">
        <w:t>, zdjęć</w:t>
      </w:r>
      <w:r>
        <w:t>. Źródło pod tabelą czcionka 10</w:t>
      </w:r>
      <w:r w:rsidR="00FE5E1D">
        <w:t xml:space="preserve"> p., interlinia 1,0</w:t>
      </w:r>
      <w:r>
        <w:t xml:space="preserve">. </w:t>
      </w:r>
    </w:p>
    <w:p w:rsidR="00CB6858" w:rsidRPr="00AF06F2" w:rsidRDefault="00CB6858" w:rsidP="00192E95">
      <w:pPr>
        <w:pStyle w:val="Normalny1"/>
        <w:spacing w:before="240" w:after="240"/>
        <w:jc w:val="center"/>
        <w:rPr>
          <w:b/>
          <w:sz w:val="22"/>
        </w:rPr>
      </w:pPr>
      <w:r w:rsidRPr="00AF06F2">
        <w:rPr>
          <w:b/>
          <w:sz w:val="22"/>
        </w:rPr>
        <w:t>Tabela 1. Tytuł tabeli</w:t>
      </w:r>
    </w:p>
    <w:tbl>
      <w:tblPr>
        <w:tblStyle w:val="Tabela-Siatka"/>
        <w:tblW w:w="0" w:type="auto"/>
        <w:jc w:val="center"/>
        <w:tblInd w:w="2660" w:type="dxa"/>
        <w:tblLook w:val="04A0"/>
      </w:tblPr>
      <w:tblGrid>
        <w:gridCol w:w="1890"/>
        <w:gridCol w:w="1890"/>
        <w:gridCol w:w="1890"/>
      </w:tblGrid>
      <w:tr w:rsidR="00CB6858" w:rsidTr="007C786C">
        <w:trPr>
          <w:jc w:val="center"/>
        </w:trPr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</w:tr>
      <w:tr w:rsidR="00CB6858" w:rsidTr="007C786C">
        <w:trPr>
          <w:jc w:val="center"/>
        </w:trPr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  <w:tc>
          <w:tcPr>
            <w:tcW w:w="1890" w:type="dxa"/>
          </w:tcPr>
          <w:p w:rsidR="00CB6858" w:rsidRDefault="00CB6858" w:rsidP="00CB6858">
            <w:pPr>
              <w:pStyle w:val="Normalny1"/>
            </w:pPr>
          </w:p>
        </w:tc>
      </w:tr>
    </w:tbl>
    <w:p w:rsidR="00CB6858" w:rsidRPr="00AF06F2" w:rsidRDefault="00CB6858" w:rsidP="007C786C">
      <w:pPr>
        <w:pStyle w:val="Normalny1"/>
        <w:ind w:left="567"/>
        <w:jc w:val="center"/>
        <w:rPr>
          <w:sz w:val="20"/>
          <w:szCs w:val="20"/>
        </w:rPr>
      </w:pPr>
      <w:r w:rsidRPr="00AF06F2">
        <w:rPr>
          <w:sz w:val="20"/>
          <w:szCs w:val="20"/>
        </w:rPr>
        <w:t>Źródło: opracowanie na podstawie …………..</w:t>
      </w:r>
    </w:p>
    <w:p w:rsidR="00CB6858" w:rsidRDefault="00CB6858" w:rsidP="00CB6858">
      <w:pPr>
        <w:pStyle w:val="Normalny1"/>
        <w:ind w:left="720"/>
      </w:pPr>
    </w:p>
    <w:p w:rsidR="00CB6858" w:rsidRPr="007C786C" w:rsidRDefault="00CB6858" w:rsidP="00192E95">
      <w:pPr>
        <w:pStyle w:val="Normalny1"/>
        <w:spacing w:before="240" w:after="240"/>
        <w:jc w:val="center"/>
        <w:rPr>
          <w:b/>
          <w:sz w:val="22"/>
        </w:rPr>
      </w:pPr>
      <w:r w:rsidRPr="007C786C">
        <w:rPr>
          <w:b/>
          <w:sz w:val="22"/>
        </w:rPr>
        <w:t>Wykres 1. Tytuł wykresu</w:t>
      </w:r>
    </w:p>
    <w:p w:rsidR="00CB6858" w:rsidRDefault="007C786C" w:rsidP="007C786C">
      <w:pPr>
        <w:pStyle w:val="Normalny1"/>
        <w:jc w:val="center"/>
      </w:pPr>
      <w:r w:rsidRPr="007C786C">
        <w:rPr>
          <w:noProof/>
        </w:rPr>
        <w:drawing>
          <wp:inline distT="0" distB="0" distL="0" distR="0">
            <wp:extent cx="3759653" cy="1757548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6858" w:rsidRDefault="00CB6858" w:rsidP="007C786C">
      <w:pPr>
        <w:pStyle w:val="Normalny1"/>
        <w:ind w:left="720"/>
        <w:jc w:val="center"/>
        <w:rPr>
          <w:sz w:val="20"/>
          <w:szCs w:val="20"/>
        </w:rPr>
      </w:pPr>
      <w:r w:rsidRPr="007C786C">
        <w:rPr>
          <w:sz w:val="20"/>
          <w:szCs w:val="20"/>
        </w:rPr>
        <w:t>Źródło: opracowanie na podstawie…….</w:t>
      </w:r>
    </w:p>
    <w:p w:rsidR="00DC4E3A" w:rsidRDefault="00DC4E3A" w:rsidP="007C786C">
      <w:pPr>
        <w:pStyle w:val="Normalny1"/>
        <w:ind w:left="720"/>
        <w:jc w:val="center"/>
        <w:rPr>
          <w:sz w:val="20"/>
          <w:szCs w:val="20"/>
        </w:rPr>
      </w:pPr>
    </w:p>
    <w:p w:rsidR="007C786C" w:rsidRPr="00DC4E3A" w:rsidRDefault="00DC4E3A" w:rsidP="00192E95">
      <w:pPr>
        <w:pStyle w:val="Normalny1"/>
        <w:spacing w:before="240" w:after="240"/>
        <w:jc w:val="center"/>
        <w:rPr>
          <w:b/>
          <w:sz w:val="22"/>
        </w:rPr>
      </w:pPr>
      <w:r w:rsidRPr="00DC4E3A">
        <w:rPr>
          <w:b/>
          <w:sz w:val="22"/>
        </w:rPr>
        <w:t>Zdjęcie 1. Tytuł zdjęcia</w:t>
      </w:r>
    </w:p>
    <w:p w:rsidR="00192E95" w:rsidRDefault="00192E95" w:rsidP="00192E95">
      <w:pPr>
        <w:pStyle w:val="Normalny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594753" cy="1852954"/>
            <wp:effectExtent l="19050" t="0" r="0" b="0"/>
            <wp:docPr id="2" name="Obraz 1" descr="classroom-209374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room-2093743_6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649" cy="18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E3A" w:rsidRDefault="00DC4E3A" w:rsidP="00192E95">
      <w:pPr>
        <w:pStyle w:val="Normalny1"/>
        <w:jc w:val="center"/>
        <w:rPr>
          <w:sz w:val="20"/>
          <w:szCs w:val="20"/>
        </w:rPr>
      </w:pPr>
      <w:r w:rsidRPr="007C786C">
        <w:rPr>
          <w:sz w:val="20"/>
          <w:szCs w:val="20"/>
        </w:rPr>
        <w:t>Źródło: …….</w:t>
      </w:r>
    </w:p>
    <w:p w:rsidR="00DC4E3A" w:rsidRPr="007C786C" w:rsidRDefault="00DC4E3A" w:rsidP="007C786C">
      <w:pPr>
        <w:pStyle w:val="Normalny1"/>
        <w:ind w:left="720"/>
        <w:jc w:val="center"/>
        <w:rPr>
          <w:sz w:val="20"/>
          <w:szCs w:val="20"/>
        </w:rPr>
      </w:pPr>
    </w:p>
    <w:p w:rsidR="00403C86" w:rsidRPr="00853407" w:rsidRDefault="00403C86" w:rsidP="00403C86">
      <w:pPr>
        <w:pStyle w:val="Normalny1"/>
        <w:numPr>
          <w:ilvl w:val="0"/>
          <w:numId w:val="17"/>
        </w:numPr>
      </w:pPr>
      <w:r>
        <w:t>Pracę dyplomową należy spiąć metalową szyną (niedopuszczalne jest klejenie pracy).</w:t>
      </w:r>
    </w:p>
    <w:p w:rsidR="00403C86" w:rsidRPr="007128E3" w:rsidRDefault="00403C86" w:rsidP="00403C86">
      <w:pPr>
        <w:pStyle w:val="Normalny1"/>
        <w:numPr>
          <w:ilvl w:val="0"/>
          <w:numId w:val="17"/>
        </w:numPr>
        <w:rPr>
          <w:szCs w:val="24"/>
        </w:rPr>
      </w:pPr>
      <w:r w:rsidRPr="007128E3">
        <w:rPr>
          <w:szCs w:val="24"/>
        </w:rPr>
        <w:t xml:space="preserve">Egzemplarz pracy przeznaczony do </w:t>
      </w:r>
      <w:r w:rsidR="00892676">
        <w:rPr>
          <w:szCs w:val="24"/>
        </w:rPr>
        <w:t>A</w:t>
      </w:r>
      <w:r w:rsidRPr="007128E3">
        <w:rPr>
          <w:szCs w:val="24"/>
        </w:rPr>
        <w:t xml:space="preserve">rchiwum (składany do Dziekanatu </w:t>
      </w:r>
      <w:proofErr w:type="spellStart"/>
      <w:r w:rsidRPr="007128E3">
        <w:rPr>
          <w:rFonts w:cs="Times New Roman"/>
          <w:szCs w:val="24"/>
        </w:rPr>
        <w:t>WNHiS</w:t>
      </w:r>
      <w:proofErr w:type="spellEnd"/>
      <w:r w:rsidRPr="007128E3">
        <w:rPr>
          <w:szCs w:val="24"/>
        </w:rPr>
        <w:t>) należy wydrukować dwustronnie, odstęp między wierszami: 1 wiersz, miękka oprawa</w:t>
      </w:r>
      <w:r w:rsidR="00D43A0E">
        <w:rPr>
          <w:szCs w:val="24"/>
        </w:rPr>
        <w:t xml:space="preserve"> wraz z oświadczeniem </w:t>
      </w:r>
      <w:r w:rsidR="00192E95">
        <w:rPr>
          <w:szCs w:val="24"/>
        </w:rPr>
        <w:t>S</w:t>
      </w:r>
      <w:r w:rsidR="00D43A0E">
        <w:rPr>
          <w:szCs w:val="24"/>
        </w:rPr>
        <w:t>tudenta</w:t>
      </w:r>
      <w:r w:rsidR="0023627E" w:rsidRPr="0023627E">
        <w:rPr>
          <w:rFonts w:cs="Times New Roman"/>
          <w:szCs w:val="24"/>
        </w:rPr>
        <w:t xml:space="preserve"> </w:t>
      </w:r>
      <w:r w:rsidR="0023627E">
        <w:rPr>
          <w:rFonts w:cs="Times New Roman"/>
          <w:szCs w:val="24"/>
        </w:rPr>
        <w:t xml:space="preserve">znajdującym się na </w:t>
      </w:r>
      <w:r w:rsidR="00192E95">
        <w:rPr>
          <w:rFonts w:cs="Times New Roman"/>
          <w:szCs w:val="24"/>
        </w:rPr>
        <w:t>stronie Katedry w zakładce Egzamin dyplomowy</w:t>
      </w:r>
      <w:r w:rsidRPr="007128E3">
        <w:rPr>
          <w:szCs w:val="24"/>
        </w:rPr>
        <w:t>.</w:t>
      </w:r>
    </w:p>
    <w:p w:rsidR="00D8190B" w:rsidRPr="00403C86" w:rsidRDefault="00403C86" w:rsidP="00403C86">
      <w:pPr>
        <w:pStyle w:val="Nagwek1"/>
      </w:pPr>
      <w:bookmarkStart w:id="5" w:name="_Toc212655832"/>
      <w:bookmarkStart w:id="6" w:name="_Toc216162313"/>
      <w:r w:rsidRPr="00403C86">
        <w:lastRenderedPageBreak/>
        <w:t>Przypisy i</w:t>
      </w:r>
      <w:r w:rsidR="00D8190B" w:rsidRPr="00403C86">
        <w:t xml:space="preserve"> </w:t>
      </w:r>
      <w:r w:rsidRPr="00403C86">
        <w:t>bibliografia</w:t>
      </w:r>
      <w:bookmarkEnd w:id="5"/>
      <w:bookmarkEnd w:id="6"/>
    </w:p>
    <w:p w:rsidR="00887094" w:rsidRDefault="00887094" w:rsidP="00887094">
      <w:pPr>
        <w:pStyle w:val="Normalny1"/>
        <w:numPr>
          <w:ilvl w:val="0"/>
          <w:numId w:val="18"/>
        </w:numPr>
        <w:ind w:left="709" w:right="-397"/>
      </w:pPr>
      <w:r w:rsidRPr="00887094">
        <w:t xml:space="preserve">Bibliografia i przypisy źródłowe – zalecane jest stosowanie </w:t>
      </w:r>
      <w:r>
        <w:t>s</w:t>
      </w:r>
      <w:r w:rsidRPr="00887094">
        <w:t xml:space="preserve">ystemu </w:t>
      </w:r>
      <w:r>
        <w:t>Oxford (przypisy na dole strony, bibliografia w układzie alfabetycznym wg nazwisk autorów).</w:t>
      </w:r>
    </w:p>
    <w:p w:rsidR="00887094" w:rsidRPr="00887094" w:rsidRDefault="00954CA0" w:rsidP="00887094">
      <w:pPr>
        <w:pStyle w:val="Normalny1"/>
        <w:numPr>
          <w:ilvl w:val="0"/>
          <w:numId w:val="18"/>
        </w:numPr>
        <w:ind w:left="709" w:right="-397"/>
      </w:pPr>
      <w:r>
        <w:t>Zalecane jest posługiwanie się menedżerem przypisów</w:t>
      </w:r>
      <w:r w:rsidR="007C786C">
        <w:t xml:space="preserve"> i bibliografii (np. </w:t>
      </w:r>
      <w:proofErr w:type="spellStart"/>
      <w:r w:rsidR="007C786C">
        <w:t>Mendeley</w:t>
      </w:r>
      <w:proofErr w:type="spellEnd"/>
      <w:r w:rsidR="007C786C">
        <w:t>).</w:t>
      </w:r>
    </w:p>
    <w:p w:rsidR="00887094" w:rsidRDefault="00887094" w:rsidP="00887094">
      <w:pPr>
        <w:pStyle w:val="Normalny1"/>
        <w:numPr>
          <w:ilvl w:val="0"/>
          <w:numId w:val="18"/>
        </w:numPr>
        <w:ind w:left="709" w:right="-397"/>
      </w:pPr>
      <w:r>
        <w:t xml:space="preserve">Wykaz piśmiennictwa powinien zawierać wszystkie wykorzystywane w pracy źródła. </w:t>
      </w:r>
    </w:p>
    <w:p w:rsidR="00887094" w:rsidRDefault="00887094" w:rsidP="00887094">
      <w:pPr>
        <w:pStyle w:val="Normalny1"/>
        <w:numPr>
          <w:ilvl w:val="0"/>
          <w:numId w:val="18"/>
        </w:numPr>
        <w:ind w:left="709" w:right="-397"/>
      </w:pPr>
      <w:r>
        <w:t xml:space="preserve">Praca powinna zawierać minimum </w:t>
      </w:r>
      <w:r w:rsidR="007C786C" w:rsidRPr="007C786C">
        <w:t>20</w:t>
      </w:r>
      <w:r w:rsidRPr="007C786C">
        <w:t xml:space="preserve"> </w:t>
      </w:r>
      <w:r>
        <w:t>pozycji piśmiennictwa nie licząc stron internetowych.</w:t>
      </w:r>
    </w:p>
    <w:p w:rsidR="00887094" w:rsidRDefault="00887094" w:rsidP="00887094">
      <w:pPr>
        <w:pStyle w:val="Normalny1"/>
        <w:numPr>
          <w:ilvl w:val="0"/>
          <w:numId w:val="18"/>
        </w:numPr>
        <w:ind w:left="709" w:right="-397"/>
      </w:pPr>
      <w:r>
        <w:t>W pracy powinno się korzystać z aktualnego piśmiennictwa doty</w:t>
      </w:r>
      <w:r w:rsidR="007C786C">
        <w:t xml:space="preserve">czącego omawianego zagadnienia. </w:t>
      </w:r>
      <w:r>
        <w:t>Wykorzystanie starszych źródeł jest dopuszczalne przy braku aktualnych doniesień.</w:t>
      </w:r>
    </w:p>
    <w:p w:rsidR="00887094" w:rsidRDefault="00887094" w:rsidP="00B44517">
      <w:pPr>
        <w:pStyle w:val="Normalny1"/>
        <w:numPr>
          <w:ilvl w:val="0"/>
          <w:numId w:val="18"/>
        </w:numPr>
        <w:ind w:left="709" w:right="-397"/>
      </w:pPr>
      <w:r>
        <w:t xml:space="preserve">Co najmniej </w:t>
      </w:r>
      <w:r w:rsidR="007C786C" w:rsidRPr="007C786C">
        <w:t>2</w:t>
      </w:r>
      <w:r>
        <w:t xml:space="preserve"> źródła powinny być </w:t>
      </w:r>
      <w:proofErr w:type="gramStart"/>
      <w:r>
        <w:t>obcojęzyczne.</w:t>
      </w:r>
      <w:proofErr w:type="gramEnd"/>
    </w:p>
    <w:p w:rsidR="007C786C" w:rsidRPr="000B0A20" w:rsidRDefault="000B0A20" w:rsidP="000B0A20">
      <w:pPr>
        <w:pStyle w:val="Normalny1"/>
        <w:numPr>
          <w:ilvl w:val="0"/>
          <w:numId w:val="18"/>
        </w:numPr>
        <w:ind w:left="709" w:right="-397" w:hanging="357"/>
        <w:rPr>
          <w:rFonts w:cs="Times New Roman"/>
          <w:szCs w:val="24"/>
        </w:rPr>
      </w:pPr>
      <w:r>
        <w:t xml:space="preserve">Przypisy: przykład przypisów </w:t>
      </w:r>
      <w:r w:rsidR="007C786C" w:rsidRPr="000B0A20">
        <w:rPr>
          <w:rFonts w:cs="Times New Roman"/>
          <w:szCs w:val="24"/>
        </w:rPr>
        <w:t xml:space="preserve">w stylu Oxford z zastosowaniem menedżera bibliografii </w:t>
      </w:r>
      <w:proofErr w:type="spellStart"/>
      <w:r w:rsidR="007C786C" w:rsidRPr="000B0A20">
        <w:rPr>
          <w:rFonts w:cs="Times New Roman"/>
          <w:szCs w:val="24"/>
        </w:rPr>
        <w:t>Mendeley</w:t>
      </w:r>
      <w:proofErr w:type="spellEnd"/>
      <w:r w:rsidR="007C786C" w:rsidRPr="000B0A20">
        <w:rPr>
          <w:rFonts w:cs="Times New Roman"/>
          <w:szCs w:val="24"/>
        </w:rPr>
        <w:t>:</w:t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Książka z 1 autorem</w:t>
      </w:r>
    </w:p>
    <w:p w:rsidR="007C786C" w:rsidRPr="009A6F99" w:rsidRDefault="009069DB" w:rsidP="00F57645">
      <w:pPr>
        <w:pStyle w:val="Tekstprzypisudolnego"/>
        <w:ind w:left="709"/>
        <w:rPr>
          <w:rFonts w:ascii="Times New Roman" w:hAnsi="Times New Roman" w:cs="Times New Roman"/>
        </w:rPr>
      </w:pPr>
      <w:r w:rsidRPr="009A6F99">
        <w:rPr>
          <w:rFonts w:ascii="Times New Roman" w:hAnsi="Times New Roman" w:cs="Times New Roman"/>
        </w:rPr>
        <w:fldChar w:fldCharType="begin" w:fldLock="1"/>
      </w:r>
      <w:r w:rsidR="007C786C" w:rsidRPr="009A6F99">
        <w:rPr>
          <w:rFonts w:ascii="Times New Roman" w:hAnsi="Times New Roman" w:cs="Times New Roman"/>
        </w:rPr>
        <w:instrText>ADDIN CSL_CITATION {"citationItems":[{"id":"ITEM-1","itemData":{"author":[{"dropping-particle":"","family":"Stańko-Kaczmarek","given":"Maja","non-dropping-particle":"","parse-names":false,"suffix":""}],"id":"ITEM-1","issued":{"date-parts":[["2019"]]},"publisher":"Difin","publisher-place":"Warszawa","title":"Arteterapia i warsztaty edukacji twórczej","type":"book"},"uris":["http://www.mendeley.com/documents/?uuid=87f79b02-c413-4223-ad6b-480d84b3a530"]}],"mendeley":{"formattedCitation":"M. Stańko-Kaczmarek, &lt;i&gt;Arteterapia i warsztaty edukacji twórczej&lt;/i&gt;, Difin, Warszawa 2019.","manualFormatting":"M. Stańko-Kaczmarek, Arteterapia i warsztaty edukacji twórczej, Difin, Warszawa 2019, s. 56.","plainTextFormattedCitation":"M. Stańko-Kaczmarek, Arteterapia i warsztaty edukacji twórczej, Difin, Warszawa 2019.","previouslyFormattedCitation":"M. Stańko-Kaczmarek, &lt;i&gt;Arteterapia i warsztaty edukacji twórczej&lt;/i&gt;, Difin, Warszawa 2019."},"properties":{"noteIndex":1},"schema":"https://github.com/citation-style-language/schema/raw/master/csl-citation.json"}</w:instrText>
      </w:r>
      <w:r w:rsidRPr="009A6F99">
        <w:rPr>
          <w:rFonts w:ascii="Times New Roman" w:hAnsi="Times New Roman" w:cs="Times New Roman"/>
        </w:rPr>
        <w:fldChar w:fldCharType="separate"/>
      </w:r>
      <w:r w:rsidR="007C786C" w:rsidRPr="009A6F99">
        <w:rPr>
          <w:rFonts w:ascii="Times New Roman" w:hAnsi="Times New Roman" w:cs="Times New Roman"/>
          <w:noProof/>
        </w:rPr>
        <w:t xml:space="preserve">M. Stańko-Kaczmarek, </w:t>
      </w:r>
      <w:r w:rsidR="007C786C" w:rsidRPr="009A6F99">
        <w:rPr>
          <w:rFonts w:ascii="Times New Roman" w:hAnsi="Times New Roman" w:cs="Times New Roman"/>
          <w:i/>
          <w:noProof/>
        </w:rPr>
        <w:t>Arteterapia i warsztaty edukacji twórczej</w:t>
      </w:r>
      <w:r w:rsidR="007C786C" w:rsidRPr="009A6F99">
        <w:rPr>
          <w:rFonts w:ascii="Times New Roman" w:hAnsi="Times New Roman" w:cs="Times New Roman"/>
          <w:noProof/>
        </w:rPr>
        <w:t>, Difin, Warszawa 2019, s. 56.</w:t>
      </w:r>
      <w:r w:rsidRPr="009A6F99">
        <w:rPr>
          <w:rFonts w:ascii="Times New Roman" w:hAnsi="Times New Roman" w:cs="Times New Roman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 xml:space="preserve">Powtórzenie źródła </w:t>
      </w:r>
      <w:proofErr w:type="gramStart"/>
      <w:r w:rsidRPr="00F57645">
        <w:rPr>
          <w:rFonts w:ascii="Times New Roman" w:hAnsi="Times New Roman" w:cs="Times New Roman"/>
          <w:b/>
          <w:sz w:val="24"/>
          <w:szCs w:val="24"/>
        </w:rPr>
        <w:t>zacytowanego powyżej, ale</w:t>
      </w:r>
      <w:proofErr w:type="gramEnd"/>
      <w:r w:rsidRPr="00F57645">
        <w:rPr>
          <w:rFonts w:ascii="Times New Roman" w:hAnsi="Times New Roman" w:cs="Times New Roman"/>
          <w:b/>
          <w:sz w:val="24"/>
          <w:szCs w:val="24"/>
        </w:rPr>
        <w:t xml:space="preserve"> do kolejnej strony</w:t>
      </w:r>
    </w:p>
    <w:p w:rsidR="007C786C" w:rsidRPr="00F57645" w:rsidRDefault="009069DB" w:rsidP="00F57645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Stańko-Kaczmarek","given":"Maja","non-dropping-particle":"","parse-names":false,"suffix":""}],"id":"ITEM-1","issued":{"date-parts":[["2019"]]},"publisher":"Difin","publisher-place":"Warszawa","title":"Arteterapia i warsztaty edukacji twórczej","type":"book"},"uris":["http://www.mendeley.com/documents/?uuid=87f79b02-c413-4223-ad6b-480d84b3a530"]}],"mendeley":{"formattedCitation":"Ibid.","plainTextFormattedCitation":"Ibid.","previouslyFormattedCitation":"Ibid."},"properties":{"noteIndex":2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Ibid.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  <w:r w:rsidR="007C786C" w:rsidRPr="00F57645">
        <w:rPr>
          <w:rFonts w:ascii="Times New Roman" w:hAnsi="Times New Roman" w:cs="Times New Roman"/>
          <w:sz w:val="20"/>
          <w:szCs w:val="20"/>
        </w:rPr>
        <w:t>, s. 60.</w:t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Ksią</w:t>
      </w:r>
      <w:r w:rsidRPr="00F57645"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  <w:t>żna z 2 autorami</w:t>
      </w:r>
    </w:p>
    <w:p w:rsidR="007C786C" w:rsidRPr="00F57645" w:rsidRDefault="009069DB" w:rsidP="00F57645">
      <w:pPr>
        <w:spacing w:line="240" w:lineRule="auto"/>
        <w:ind w:left="709"/>
        <w:rPr>
          <w:rFonts w:ascii="Times New Roman" w:eastAsiaTheme="minorHAnsi" w:hAnsi="Times New Roman" w:cs="Times New Roman"/>
          <w:sz w:val="20"/>
          <w:szCs w:val="20"/>
          <w:lang w:eastAsia="ja-JP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Baranowska-Jojko","given":"Ewa","non-dropping-particle":"","parse-names":false,"suffix":""},{"dropping-particle":"","family":"Wiechuła","given":"Aleksandra","non-dropping-particle":"","parse-names":false,"suffix":""}],"id":"ITEM-1","issued":{"date-parts":[["2016"]]},"publisher":"Wydawnictwo Harmonia","publisher-place":"Gdańsk","title":"Rozwojowe wzgórze : program rozwoju osobistego dla dzieci z elementami arteterapii","type":"book"},"uris":["http://www.mendeley.com/documents/?uuid=ba8786fe-f9a7-497a-b97b-996a45a4c9f5"]}],"mendeley":{"formattedCitation":"E. Baranowska-Jojko i A. Wiechuła, &lt;i&gt;Rozwojowe wzgórze : program rozwoju osobistego dla dzieci z elementami arteterapii&lt;/i&gt;, Wydawnictwo Harmonia, Gdańsk 2016.","manualFormatting":"E. Baranowska-Jojko i A. Wiechuła, Rozwojowe wzgórze : program rozwoju osobistego dla dzieci z elementami arteterapii, Wydawnictwo Harmonia, Gdańsk 2016, s. 55.","plainTextFormattedCitation":"E. Baranowska-Jojko i A. Wiechuła, Rozwojowe wzgórze : program rozwoju osobistego dla dzieci z elementami arteterapii, Wydawnictwo Harmonia, Gdańsk 2016.","previouslyFormattedCitation":"E. Baranowska-Jojko i A. Wiechuła, &lt;i&gt;Rozwojowe wzgórze : program rozwoju osobistego dla dzieci z elementami arteterapii&lt;/i&gt;, Wydawnictwo Harmonia, Gdańsk 2016."},"properties":{"noteIndex":3},"schema":"https://github.com/citation-style-language/schema/raw/master/csl-citation.json"}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E. Baranowska-Jojko i A. Wiechuła,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Rozwojowe wzgórze : program rozwoju osobistego dla dzieci z elementami arteterapii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, Wydawnictwo Harmonia, Gdańsk 2016, s. 55.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</w:pPr>
      <w:r w:rsidRPr="00F57645"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  <w:t>Powtórzenie źródła zacytowanego wcześniej</w:t>
      </w:r>
    </w:p>
    <w:p w:rsidR="007C786C" w:rsidRPr="00F57645" w:rsidRDefault="009069DB" w:rsidP="007C786C">
      <w:pPr>
        <w:spacing w:line="240" w:lineRule="auto"/>
        <w:ind w:left="709"/>
        <w:rPr>
          <w:rFonts w:ascii="Times New Roman" w:eastAsiaTheme="minorHAnsi" w:hAnsi="Times New Roman" w:cs="Times New Roman"/>
          <w:sz w:val="20"/>
          <w:szCs w:val="20"/>
          <w:lang w:eastAsia="ja-JP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Stańko-Kaczmarek","given":"Maja","non-dropping-particle":"","parse-names":false,"suffix":""}],"id":"ITEM-1","issued":{"date-parts":[["2019"]]},"publisher":"Difin","publisher-place":"Warszawa","title":"Arteterapia i warsztaty edukacji twórczej","type":"book"},"uris":["http://www.mendeley.com/documents/?uuid=87f79b02-c413-4223-ad6b-480d84b3a530"]}],"mendeley":{"formattedCitation":"M. Stańko-Kaczmarek, &lt;i&gt;Arteterapia i warsztaty edukacji twórczej&lt;/i&gt;..., op. cit.","plainTextFormattedCitation":"M. Stańko-Kaczmarek, Arteterapia i warsztaty edukacji twórczej..., op. cit.","previouslyFormattedCitation":"M. Stańko-Kaczmarek, &lt;i&gt;Arteterapia i warsztaty edukacji twórczej&lt;/i&gt;..., op. cit."},"properties":{"noteIndex":4},"schema":"https://github.com/citation-style-language/schema/raw/master/csl-citation.json"}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M. Stańko-Kaczmarek,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Arteterapia i warsztaty edukacji twórczej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..., op. cit.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  <w:r w:rsidR="007C786C" w:rsidRPr="00F57645">
        <w:rPr>
          <w:rFonts w:ascii="Times New Roman" w:hAnsi="Times New Roman" w:cs="Times New Roman"/>
          <w:sz w:val="20"/>
          <w:szCs w:val="20"/>
        </w:rPr>
        <w:t>, s. 67.</w:t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</w:pPr>
      <w:r w:rsidRPr="00F57645"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  <w:t>Książka z 3 autorami</w:t>
      </w:r>
    </w:p>
    <w:p w:rsidR="007C786C" w:rsidRPr="00F57645" w:rsidRDefault="009069DB" w:rsidP="007C786C">
      <w:pPr>
        <w:spacing w:line="240" w:lineRule="auto"/>
        <w:ind w:left="709"/>
        <w:rPr>
          <w:rFonts w:ascii="Times New Roman" w:eastAsiaTheme="minorHAnsi" w:hAnsi="Times New Roman" w:cs="Times New Roman"/>
          <w:sz w:val="20"/>
          <w:szCs w:val="20"/>
          <w:lang w:eastAsia="ja-JP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Grzesiak","given":"Ewa","non-dropping-particle":"","parse-names":false,"suffix":""},{"dropping-particle":"","family":"Janicka-Szyszko","given":"Renata","non-dropping-particle":"","parse-names":false,"suffix":""},{"dropping-particle":"","family":"Steblecka","given":"Magdalena","non-dropping-particle":"","parse-names":false,"suffix":""}],"id":"ITEM-1","issued":{"date-parts":[["2005"]]},"publisher":"Gdańskie Wydawnictwo Psychologiczne","publisher-place":"Gdańsk","title":"Edukacja medialna : scenariusze zajęć","type":"book"},"uris":["http://www.mendeley.com/documents/?uuid=fbf33294-8d2d-4bc4-a505-768eecc399aa"]}],"mendeley":{"formattedCitation":"E. Grzesiak, R. Janicka-Szyszko, i M. Steblecka, &lt;i&gt;Edukacja medialna : scenariusze zajęć&lt;/i&gt;, Gdańskie Wydawnictwo Psychologiczne, Gdańsk 2005.","manualFormatting":"E. Grzesiak, R. Janicka-Szyszko, i M. Steblecka, Edukacja medialna : scenariusze zajęć, Gdańskie Wydawnictwo Psychologiczne, Gdańsk 2005, s. 78.","plainTextFormattedCitation":"E. Grzesiak, R. Janicka-Szyszko, i M. Steblecka, Edukacja medialna : scenariusze zajęć, Gdańskie Wydawnictwo Psychologiczne, Gdańsk 2005.","previouslyFormattedCitation":"E. Grzesiak, R. Janicka-Szyszko, i M. Steblecka, &lt;i&gt;Edukacja medialna : scenariusze zajęć&lt;/i&gt;, Gdańskie Wydawnictwo Psychologiczne, Gdańsk 2005."},"properties":{"noteIndex":5},"schema":"https://github.com/citation-style-language/schema/raw/master/csl-citation.json"}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E. Grzesiak, R. Janicka-Szyszko, i M. Steblecka,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Edukacja medialna : scenariusze zajęć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, Gdańskie Wydawnictwo Psychologiczne, Gdańsk 2005, s. 78.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</w:pPr>
      <w:r w:rsidRPr="00F57645"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  <w:t>Książka z więcej niż 3 autorami</w:t>
      </w:r>
    </w:p>
    <w:p w:rsidR="007C786C" w:rsidRPr="00F57645" w:rsidRDefault="009069DB" w:rsidP="007C786C">
      <w:pPr>
        <w:spacing w:line="240" w:lineRule="auto"/>
        <w:ind w:left="709"/>
        <w:rPr>
          <w:rFonts w:ascii="Times New Roman" w:eastAsiaTheme="minorHAnsi" w:hAnsi="Times New Roman" w:cs="Times New Roman"/>
          <w:sz w:val="20"/>
          <w:szCs w:val="20"/>
          <w:lang w:eastAsia="ja-JP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ISBN":"9788377028001","author":[{"dropping-particle":"","family":"Chałas","given":"Krystyna","non-dropping-particle":"","parse-names":false,"suffix":""},{"dropping-particle":"","family":"Komorowska","given":"Beata","non-dropping-particle":"","parse-names":false,"suffix":""},{"dropping-particle":"","family":"Furmanek","given":"Waldemar","non-dropping-particle":"","parse-names":false,"suffix":""},{"dropping-particle":"","family":"Maj","given":"Adam","non-dropping-particle":"","parse-names":false,"suffix":""}],"id":"ITEM-1","issued":{"date-parts":[["2014"]]},"note":"Na s. 4 okł. drugi, błędnie zapisany ISBN: 837702800-X; Bibliogr. przy art","publisher":"Wydawnictwo KUL","publisher-place":"Lublin","title":"Pedagogika szkolna, wczesnoszkolna i przedszkolna: teoria i praktyka","type":"book"},"uris":["http://www.mendeley.com/documents/?uuid=9227c08e-7818-47c2-9e0e-47b37c6ab475"]}],"mendeley":{"formattedCitation":"K. Chałas et al., &lt;i&gt;Pedagogika szkolna, wczesnoszkolna i przedszkolna: teoria i praktyka&lt;/i&gt;, Wydawnictwo KUL, Lublin 2014.","manualFormatting":"K. Chałas et al., Pedagogika szkolna, wczesnoszkolna i przedszkolna: teoria i praktyka, Wydawnictwo KUL, Lublin 2014, s. 99.","plainTextFormattedCitation":"K. Chałas et al., Pedagogika szkolna, wczesnoszkolna i przedszkolna: teoria i praktyka, Wydawnictwo KUL, Lublin 2014.","previouslyFormattedCitation":"K. Chałas et al., &lt;i&gt;Pedagogika szkolna, wczesnoszkolna i przedszkolna: teoria i praktyka&lt;/i&gt;, Wydawnictwo KUL, Lublin 2014."},"properties":{"noteIndex":6},"schema":"https://github.com/citation-style-language/schema/raw/master/csl-citation.json"}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K. Chałas et al.,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Pedagogika szkolna, wczesnoszkolna i przedszkolna: teoria i praktyka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, Wydawnictwo KUL, Lublin 2014, s. 99.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Książka pod redakcją</w:t>
      </w:r>
    </w:p>
    <w:p w:rsidR="007C786C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{"citationItems":[{"id":"ITEM-1","itemData":{"ISBN":"9788383581002","editor":[{"dropping-particle":"","family":"Gawroński","given":"Krzysztof","non-dropping-particle":"","parse-names":false,"suffix":""},{"dropping-particle":"","family":"Kwiatkowski","given":"Stefan Michał","non-dropping-particle":"","parse-names":false,"suffix":""}],"id":"ITEM-1","issued":{"date-parts":[["2024"]]},"note":"Bibliografia przy podrozdziałach; Dla nauczycieli i dyrektorów szkół, studentów nauk o zarządzaniu oraz pedagogiki; Książka dostępna także jako e-book","publisher":"Wolters Kluwer","publisher-place":"Warszawa","title":"Dobry nauczyciel - dobry uczeń - dobra szkoła","type":"book"},"uris":["http://www.mendeley.com/documents/?uuid=2905a711-9761-4c0f-bbc8-a7c25ee7e439"]}],"mendeley":{"formattedCitation":"K. Gawroński i S.M. Kwiatkowski, red., &lt;i&gt;Dobry nauczyciel - dobry uczeń - dobra szkoła&lt;/i&gt;, Wolters Kluwer, Warszawa 2024.","manualFormatting":"K. Gawroński i S.M. Kwiatkowski, red., Dobry nauczyciel - dobry uczeń - dobra szkoła, Wolters Kluwer, Warszawa 2024, s. 102.","plainTextFormattedCitation":"K. Gawroński i S.M. Kwiatkowski, red., Dobry nauczyciel - dobry uczeń - dobra szkoła, Wolters Kluwer, Warszawa 2024.","previouslyFormattedCitation":"K. Gawroński i S.M. Kwiatkowski, red., &lt;i&gt;Dobry nauczyciel - dobry uczeń - dobra szkoła&lt;/i&gt;, Wolters Kluwer, Warszawa 2024."},"properties":{"noteIndex":7},"schema":"https://github.com/citation-style-language/schema/raw/master/csl-citation.json"}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K. Gawroński i S.M. Kwiatkowski, red.,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Dobry nauczyciel - dobry uczeń - dobra szkoła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, Wolters Kluwer, Warszawa 2024, s. 102.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Rozdział z książki</w:t>
      </w:r>
    </w:p>
    <w:p w:rsidR="007C786C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7C786C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{"citationItems":[{"id":"ITEM-1","itemData":{"author":[{"dropping-particle":"","family":"Laskowska","given":"Małgorzata","non-dropping-particle":"","parse-names":false,"suffix":""}],"container-title":"Media w edukacji. Obszary lokalności – różnorodność współczesności","editor":[{"dropping-particle":"","family":"Roguska","given":"A.","non-dropping-particle":"","parse-names":false,"suffix":""}],"id":"ITEM-1","issued":{"date-parts":[["2013"]]},"page":"143-160","publisher":"Fundacja na rzecz dzieci i młodzieży \"Szansa\"","publisher-place":"Siedlce","title":"Media społecznościowe dla edukacji . Sprzymierzeniec czy wróg ?","type":"chapter"},"uris":["http://www.mendeley.com/documents/?uuid=dffdbdc4-5e34-48ac-a7f0-0bb2261269b5"]}],"mendeley":{"formattedCitation":"M. Laskowska, &lt;i&gt;Media społecznościowe dla edukacji . Sprzymierzeniec czy wróg ?&lt;/i&gt;, [w:] &lt;i&gt;Media w edukacji. Obszary lokalności – różnorodność współczesności&lt;/i&gt;, red. A. Roguska, Fundacja na rzecz dzieci i młodzieży „Szansa”, Siedlce 2013, s. 143–160.","manualFormatting":"M. Laskowska, Media społecznościowe dla edukacji . Sprzymierzeniec czy wróg ?, [w:] Media w edukacji. Obszary lokalności – różnorodność współczesności, red. A. Roguska, Fundacja na rzecz dzieci i młodzieży „Szansa”, Siedlce 2013, s. 145.","plainTextFormattedCitation":"M. Laskowska, Media społecznościowe dla edukacji . Sprzymierzeniec czy wróg ?, [w:] Media w edukacji. Obszary lokalności – różnorodność współczesności, red. A. Roguska, Fundacja na rzecz dzieci i młodzieży „Szansa”, Siedlce 2013, s. 143–160.","previouslyFormattedCitation":"M. Laskowska, &lt;i&gt;Media społecznościowe dla edukacji . Sprzymierzeniec czy wróg ?&lt;/i&gt;, [w:] &lt;i&gt;Media w edukacji. Obszary lokalności – różnorodność współczesności&lt;/i&gt;, red. A. Roguska, Fundacja na rzecz dzieci i młodzieży „Szansa”, Siedlce 2013, s. 143–160."},"properties":{"noteIndex":8},"schema":"https://github.com/citation-style-language/schema/raw/master/csl-citation.json"}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M. Laskowska,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Media społecznościowe dla edukacji . Sprzymierzeniec czy wróg ?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 xml:space="preserve">, [w:] </w:t>
      </w:r>
      <w:r w:rsidR="007C786C" w:rsidRPr="00F57645">
        <w:rPr>
          <w:rFonts w:ascii="Times New Roman" w:hAnsi="Times New Roman" w:cs="Times New Roman"/>
          <w:i/>
          <w:noProof/>
          <w:sz w:val="20"/>
          <w:szCs w:val="20"/>
        </w:rPr>
        <w:t>Media w edukacji. Obszary lokalności – różnorodność współczesności</w:t>
      </w:r>
      <w:r w:rsidR="007C786C" w:rsidRPr="00F57645">
        <w:rPr>
          <w:rFonts w:ascii="Times New Roman" w:hAnsi="Times New Roman" w:cs="Times New Roman"/>
          <w:noProof/>
          <w:sz w:val="20"/>
          <w:szCs w:val="20"/>
        </w:rPr>
        <w:t>, red. A. Roguska, Fundacja na rzecz dzieci i młodzieży „Szansa”, Siedlce 2013, s. 145.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Hasło z encyklopedii/ słownika</w:t>
      </w:r>
    </w:p>
    <w:p w:rsidR="00E87C2E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E87C2E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{"citationItems":[{"id":"ITEM-1","itemData":{"author":[{"dropping-particle":"","family":"Czerwińska","given":"Małgorzata","non-dropping-particle":"","parse-names":false,"suffix":""}],"container-title":"Encyklopedia pedagogiczna XXI wieku. T. 4","editor":[{"dropping-particle":"","family":"Pilch","given":"Tadeusz","non-dropping-particle":"","parse-names":false,"suffix":""}],"id":"ITEM-1","issued":{"date-parts":[["2003"]]},"page":"114-121","publisher":"Żak","publisher-place":"Warszawa","title":"Pedagogika biblioteczna","type":"chapter"},"uris":["http://www.mendeley.com/documents/?uuid=6620707c-d1d2-4d0c-a204-34af9d24aa72"]}],"mendeley":{"formattedCitation":"M. Czerwińska, &lt;i&gt;Pedagogika biblioteczna&lt;/i&gt;, [w:] &lt;i&gt;Encyklopedia pedagogiczna XXI wieku. T. 4&lt;/i&gt;, red. T. Pilch, Żak, Warszawa 2003, s. 114–121.","manualFormatting":"M. Czerwińska, Pedagogika biblioteczna, [w:] Encyklopedia pedagogiczna XXI wieku. T. 4, red. T. Pilch, Żak, Warszawa 2003, s. 114.","plainTextFormattedCitation":"M. Czerwińska, Pedagogika biblioteczna, [w:] Encyklopedia pedagogiczna XXI wieku. T. 4, red. T. Pilch, Żak, Warszawa 2003, s. 114–121.","previouslyFormattedCitation":"M. Czerwińska, &lt;i&gt;Pedagogika biblioteczna&lt;/i&gt;, [w:] &lt;i&gt;Encyklopedia pedagogiczna XXI wieku. T. 4&lt;/i&gt;, red. T. Pilch, Żak, Warszawa 2003, s. 114–121."},"properties":{"noteIndex":9},"schema":"https://github.com/citation-style-language/schema/raw/master/csl-citation.json"}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M. Czerwińska,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Pedagogika biblioteczna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, [w:]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Encyklopedia pedagogiczna XXI wieku. T. 4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>, red. T. Pilch, Żak, Warszawa 2003, s. 114.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Artykuł z czasopisma z 1 autorem</w:t>
      </w:r>
    </w:p>
    <w:p w:rsidR="00E87C2E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E87C2E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{"citationItems":[{"id":"ITEM-1","itemData":{"author":[{"dropping-particle":"","family":"Gałuszka","given":"Damian","non-dropping-particle":"","parse-names":false,"suffix":""}],"container-title":"Państwo i Społeczeństwo","id":"ITEM-1","issue":"3","issued":{"date-parts":[["2017"]]},"page":"71-84","title":"Gry wideo w perspektywie edukacji pozaformalnej i formalnej","type":"article-journal"},"uris":["http://www.mendeley.com/documents/?uuid=fd595ba9-fde9-4479-9cfe-bb0a4daf0b52"]}],"mendeley":{"formattedCitation":"D. Gałuszka, &lt;i&gt;Gry wideo w perspektywie edukacji pozaformalnej i formalnej&lt;/i&gt;, „Państwo i Społeczeństwo”, 2017, nr 3, s. 71–84.","manualFormatting":"D. Gałuszka, Gry wideo w perspektywie edukacji pozaformalnej i formalnej, „Państwo i Społeczeństwo”, 2017, nr 3, s. 72.","plainTextFormattedCitation":"D. Gałuszka, Gry wideo w perspektywie edukacji pozaformalnej i formalnej, „Państwo i Społeczeństwo”, 2017, nr 3, s. 71–84.","previouslyFormattedCitation":"D. Gałuszka, &lt;i&gt;Gry wideo w perspektywie edukacji pozaformalnej i formalnej&lt;/i&gt;, „Państwo i Społeczeństwo”, 2017, nr 3, s. 71–84."},"properties":{"noteIndex":10},"schema":"https://github.com/citation-style-language/schema/raw/master/csl-citation.json"}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D. Gałuszka,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Gry wideo w perspektywie edukacji pozaformalnej i formalnej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>, „Państwo i Społeczeństwo”, 2017, nr 3, s. 72.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Artykuł z czasopisma z 2 autorami</w:t>
      </w:r>
    </w:p>
    <w:p w:rsidR="00E87C2E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E87C2E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Ordon","given":"Urszula","non-dropping-particle":"","parse-names":false,"suffix":""},{"dropping-particle":"","family":"Skoczylas-Krotla","given":"Edyta","non-dropping-particle":"","parse-names":false,"suffix":""}],"container-title":"Prace Naukowe Wyższej Szkoły Pedagogicznej w Częstochowie","id":"ITEM-1","issue":"11","issued":{"date-parts":[["2002"]]},"page":"101-107","title":"Możliwości wykorzystania komputera w edukacji wczesnoszkolnej : szanse i zagrożenia","type":"article-journal"},"uris":["http://www.mendeley.com/documents/?uuid=8a25be3a-21ef-421a-895b-b18d217504c3"]}],"mendeley":{"formattedCitation":"U. Ordon i E. Skoczylas-Krotla, &lt;i&gt;Możliwości wykorzystania komputera w edukacji wczesnoszkolnej : szanse i zagrożenia&lt;/i&gt;, „Prace Naukowe Wyższej Szkoły Pedagogicznej w Częstochowie”, 2002, nr 11, s. 101–107.","manualFormatting":"U. Ordon i E. Skoczylas-Krotla, Możliwości wykorzystania komputera w edukacji wczesnoszkolnej : szanse i zagrożenia, „Prace Naukowe Wyższej Szkoły Pedagogicznej w Częstochowie”, 2002, nr 11, s. 107.","plainTextFormattedCitation":"U. Ordon i E. Skoczylas-Krotla, Możliwości wykorzystania komputera w edukacji wczesnoszkolnej : szanse i zagrożenia, „Prace Naukowe Wyższej Szkoły Pedagogicznej w Częstochowie”, 2002, nr 11, s. 101–107.","previouslyFormattedCitation":"U. Ordon i E. Skoczylas-Krotla, &lt;i&gt;Możliwości wykorzystania komputera w edukacji wczesnoszkolnej : szanse i zagrożenia&lt;/i&gt;, „Prace Naukowe Wyższej Szkoły Pedagogicznej w Częstochowie”, 2002, nr 11, s. 101–107."},"properties":{"noteIndex":11},"schema":"https://github.com/citation-style-language/schema/raw/master/csl-citation.json"}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U. Ordon i E. Skoczylas-Krotla,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Możliwości wykorzystania komputera w edukacji wczesnoszkolnej : szanse i zagrożenia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>, „Prace Naukowe Wyższej Szkoły Pedagogicznej w Częstochowie”, 2002, nr 11, s. 107.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57645">
        <w:rPr>
          <w:rFonts w:ascii="Times New Roman" w:hAnsi="Times New Roman" w:cs="Times New Roman"/>
          <w:b/>
          <w:sz w:val="24"/>
          <w:szCs w:val="24"/>
        </w:rPr>
        <w:t>Artykuł z czasopisma z 3 autorami</w:t>
      </w:r>
    </w:p>
    <w:p w:rsidR="00E87C2E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E87C2E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Barlińska","given":"Julia","non-dropping-particle":"","parse-names":false,"suffix":""},{"dropping-particle":"","family":"Lalak","given":"Dominik","non-dropping-particle":"","parse-names":false,"suffix":""},{"dropping-particle":"","family":"Szuster","given":"Anna","non-dropping-particle":"","parse-names":false,"suffix":""}],"container-title":"Dziecko Krzywdzone. Teoria, Badania, Praktyka","id":"ITEM-1","issue":"1","issued":{"date-parts":[["2018"]]},"page":"68-95","title":"Jak skutecznie ograniczyć cyberprzemoc rówieśniczą? – o efektywności metod aktywizujących kompetencje społeczne ze szczególnym uwzględnieniem empatii","type":"article-journal","volume":"17"},"uris":["http://www.mendeley.com/documents/?uuid=8ca84970-5cdd-4118-9b58-1a0d1ff25804"]}],"mendeley":{"formattedCitation":"J. Barlińska, D. Lalak, i A. Szuster, &lt;i&gt;Jak skutecznie ograniczyć cyberprzemoc rówieśniczą? – o efektywności metod aktywizujących kompetencje społeczne ze szczególnym uwzględnieniem empatii&lt;/i&gt;, „Dziecko Krzywdzone. Teoria, Badania, Praktyka”, 2018, t.17, nr 1, s. 68–95.","manualFormatting":"J. Barlińska, D. Lalak, i A. Szuster, Jak skutecznie ograniczyć cyberprzemoc rówieśniczą? – o efektywności metod aktywizujących kompetencje społeczne ze szczególnym uwzględnieniem empatii, „Dziecko Krzywdzone. Teoria, Badania, Praktyka”, 2018, t.17, nr 1, s. 95.","plainTextFormattedCitation":"J. Barlińska, D. Lalak, i A. Szuster, Jak skutecznie ograniczyć cyberprzemoc rówieśniczą? – o efektywności metod aktywizujących kompetencje społeczne ze szczególnym uwzględnieniem empatii, „Dziecko Krzywdzone. Teoria, Badania, Praktyka”, 2018, t.17, nr 1, s. 68–95.","previouslyFormattedCitation":"J. Barlińska, D. Lalak, i A. Szuster, &lt;i&gt;Jak skutecznie ograniczyć cyberprzemoc rówieśniczą? – o efektywności metod aktywizujących kompetencje społeczne ze szczególnym uwzględnieniem empatii&lt;/i&gt;, „Dziecko Krzywdzone. Teoria, Badania, Praktyka”, 2018, t.17, nr 1, s. 68–95."},"properties":{"noteIndex":12},"schema":"https://github.com/citation-style-language/schema/raw/master/csl-citation.json"}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J. Barlińska, D. Lalak, i A. Szuster,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Jak skutecznie ograniczyć cyberprzemoc rówieśniczą? – o efektywności metod aktywizujących kompetencje społeczne ze szczególnym uwzględnieniem empatii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>, „Dziecko Krzywdzone. Teoria, Badania, Praktyka”, 2018, t.17, nr 1, s. 95.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F57645">
        <w:rPr>
          <w:rFonts w:ascii="Times New Roman" w:hAnsi="Times New Roman" w:cs="Times New Roman"/>
          <w:b/>
          <w:sz w:val="24"/>
          <w:szCs w:val="24"/>
          <w:lang w:eastAsia="ko-KR"/>
        </w:rPr>
        <w:t>Akt prawny</w:t>
      </w:r>
    </w:p>
    <w:p w:rsidR="00E87C2E" w:rsidRPr="00F57645" w:rsidRDefault="00E87C2E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ko-KR"/>
        </w:rPr>
      </w:pPr>
      <w:r w:rsidRPr="00F57645">
        <w:rPr>
          <w:rFonts w:ascii="Times New Roman" w:hAnsi="Times New Roman" w:cs="Times New Roman"/>
          <w:sz w:val="20"/>
          <w:szCs w:val="20"/>
        </w:rPr>
        <w:t xml:space="preserve">Art. 6, </w:t>
      </w:r>
      <w:r w:rsidR="009069DB" w:rsidRPr="00F57645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{"citationItems":[{"id":"ITEM-1","itemData":{"author":[{"dropping-particle":"","family":"Dz.U. 2023 poz. 1610","given":"","non-dropping-particle":"","parse-names":false,"suffix":""}],"id":"ITEM-1","issued":{"date-parts":[["0"]]},"title":"Ustawa z dnia 23 kwietnia 1964 r. - Kodeks cywilny","type":"article"},"uris":["http://www.mendeley.com/documents/?uuid=70206edc-3722-4b1c-9c62-db4aa585e701"]}],"mendeley":{"formattedCitation":"Dz.U. 2023 poz. 1610, &lt;i&gt;Ustawa z dnia 23 kwietnia 1964 r. - Kodeks cywilny&lt;/i&gt;, b.d.","manualFormatting":"Dz.U. 2023 poz. 1610, Ustawa z dnia 23 kwietnia 1964 r. - Kodeks cywilny.","plainTextFormattedCitation":"Dz.U. 2023 poz. 1610, Ustawa z dnia 23 kwietnia 1964 r. - Kodeks cywilny, b.d.","previouslyFormattedCitation":"Dz.U. 2023 poz. 1610, &lt;i&gt;Ustawa z dnia 23 kwietnia 1964 r. - Kodeks cywilny&lt;/i&gt;, b.d."},"properties":{"noteIndex":13},"schema":"https://github.com/citation-style-language/schema/raw/master/csl-citation.json"}</w:instrText>
      </w:r>
      <w:r w:rsidR="009069DB"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Pr="00F57645">
        <w:rPr>
          <w:rFonts w:ascii="Times New Roman" w:hAnsi="Times New Roman" w:cs="Times New Roman"/>
          <w:noProof/>
          <w:sz w:val="20"/>
          <w:szCs w:val="20"/>
        </w:rPr>
        <w:t xml:space="preserve">Dz.U. 2023 poz. 1610, </w:t>
      </w:r>
      <w:r w:rsidRPr="00F57645">
        <w:rPr>
          <w:rFonts w:ascii="Times New Roman" w:hAnsi="Times New Roman" w:cs="Times New Roman"/>
          <w:i/>
          <w:noProof/>
          <w:sz w:val="20"/>
          <w:szCs w:val="20"/>
        </w:rPr>
        <w:t>Ustawa z dnia 23 kwietnia 1964 r. - Kodeks cywilny</w:t>
      </w:r>
      <w:r w:rsidRPr="00F57645">
        <w:rPr>
          <w:rFonts w:ascii="Times New Roman" w:hAnsi="Times New Roman" w:cs="Times New Roman"/>
          <w:noProof/>
          <w:sz w:val="20"/>
          <w:szCs w:val="20"/>
        </w:rPr>
        <w:t>.</w:t>
      </w:r>
      <w:r w:rsidR="009069DB"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7C786C" w:rsidRPr="00F57645" w:rsidRDefault="007C786C" w:rsidP="007C786C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F57645">
        <w:rPr>
          <w:rFonts w:ascii="Times New Roman" w:hAnsi="Times New Roman" w:cs="Times New Roman"/>
          <w:b/>
          <w:sz w:val="24"/>
          <w:szCs w:val="24"/>
          <w:lang w:eastAsia="ko-KR"/>
        </w:rPr>
        <w:t>Strona internetowa</w:t>
      </w:r>
    </w:p>
    <w:p w:rsidR="00E87C2E" w:rsidRPr="00F57645" w:rsidRDefault="009069DB" w:rsidP="007C786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ko-KR"/>
        </w:rPr>
      </w:pPr>
      <w:r w:rsidRPr="00F57645">
        <w:rPr>
          <w:rFonts w:ascii="Times New Roman" w:hAnsi="Times New Roman" w:cs="Times New Roman"/>
          <w:sz w:val="20"/>
          <w:szCs w:val="20"/>
        </w:rPr>
        <w:lastRenderedPageBreak/>
        <w:fldChar w:fldCharType="begin" w:fldLock="1"/>
      </w:r>
      <w:r w:rsidR="00E87C2E" w:rsidRPr="00F57645">
        <w:rPr>
          <w:rFonts w:ascii="Times New Roman" w:hAnsi="Times New Roman" w:cs="Times New Roman"/>
          <w:sz w:val="20"/>
          <w:szCs w:val="20"/>
        </w:rPr>
        <w:instrText>ADDIN CSL_CITATION {"citationItems":[{"id":"ITEM-1","itemData":{"URL":"https://ec.europa.eu/eurostat/en/web/main/data/database","accessed":{"date-parts":[["2024","4","6"]]},"author":[{"dropping-particle":"","family":"Eurostat","given":"","non-dropping-particle":"","parse-names":false,"suffix":""}],"id":"ITEM-1","issued":{"date-parts":[["2024"]]},"title":"Households - level of internet access","type":"webpage"},"uris":["http://www.mendeley.com/documents/?uuid=7a341060-a803-4c11-8529-2f6c0d4b53a2"]}],"mendeley":{"formattedCitation":"Eurostat, &lt;i&gt;Households - level of internet access&lt;/i&gt;, 2024, https://ec.europa.eu/eurostat/en/web/main/data/database, 6.04.2024.","plainTextFormattedCitation":"Eurostat, Households - level of internet access, 2024, https://ec.europa.eu/eurostat/en/web/main/data/database, 6.04.2024.","previouslyFormattedCitation":"Eurostat, &lt;i&gt;Households - level of internet access&lt;/i&gt;, 2024, https://ec.europa.eu/eurostat/en/web/main/data/database, 6.04.2024."},"properties":{"noteIndex":14},"schema":"https://github.com/citation-style-language/schema/raw/master/csl-citation.json"}</w:instrText>
      </w:r>
      <w:r w:rsidRPr="00F57645">
        <w:rPr>
          <w:rFonts w:ascii="Times New Roman" w:hAnsi="Times New Roman" w:cs="Times New Roman"/>
          <w:sz w:val="20"/>
          <w:szCs w:val="20"/>
        </w:rPr>
        <w:fldChar w:fldCharType="separate"/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 xml:space="preserve">Eurostat, </w:t>
      </w:r>
      <w:r w:rsidR="00E87C2E" w:rsidRPr="00F57645">
        <w:rPr>
          <w:rFonts w:ascii="Times New Roman" w:hAnsi="Times New Roman" w:cs="Times New Roman"/>
          <w:i/>
          <w:noProof/>
          <w:sz w:val="20"/>
          <w:szCs w:val="20"/>
        </w:rPr>
        <w:t>Households - level of internet access</w:t>
      </w:r>
      <w:r w:rsidR="00E87C2E" w:rsidRPr="00F57645">
        <w:rPr>
          <w:rFonts w:ascii="Times New Roman" w:hAnsi="Times New Roman" w:cs="Times New Roman"/>
          <w:noProof/>
          <w:sz w:val="20"/>
          <w:szCs w:val="20"/>
        </w:rPr>
        <w:t>, 2024, https://ec.europa.eu/eurostat/en/web/main/data/database, 6.04.2024.</w:t>
      </w:r>
      <w:r w:rsidRPr="00F57645">
        <w:rPr>
          <w:rFonts w:ascii="Times New Roman" w:hAnsi="Times New Roman" w:cs="Times New Roman"/>
          <w:sz w:val="20"/>
          <w:szCs w:val="20"/>
        </w:rPr>
        <w:fldChar w:fldCharType="end"/>
      </w:r>
    </w:p>
    <w:p w:rsidR="000B0A20" w:rsidRDefault="000B0A20" w:rsidP="000B0A20">
      <w:pPr>
        <w:pStyle w:val="Normalny1"/>
        <w:numPr>
          <w:ilvl w:val="0"/>
          <w:numId w:val="18"/>
        </w:numPr>
        <w:ind w:left="709" w:right="-397" w:hanging="357"/>
        <w:rPr>
          <w:rFonts w:cs="Times New Roman"/>
          <w:szCs w:val="24"/>
        </w:rPr>
      </w:pPr>
      <w:r>
        <w:t xml:space="preserve">Bibliografia: przykład bibliografii </w:t>
      </w:r>
      <w:r w:rsidRPr="000B0A20">
        <w:rPr>
          <w:rFonts w:cs="Times New Roman"/>
          <w:szCs w:val="24"/>
        </w:rPr>
        <w:t xml:space="preserve">w stylu Oxford z zastosowaniem menedżera bibliografii </w:t>
      </w:r>
      <w:proofErr w:type="spellStart"/>
      <w:r w:rsidRPr="000B0A20">
        <w:rPr>
          <w:rFonts w:cs="Times New Roman"/>
          <w:szCs w:val="24"/>
        </w:rPr>
        <w:t>Mendeley</w:t>
      </w:r>
      <w:proofErr w:type="spellEnd"/>
      <w:r w:rsidRPr="000B0A20">
        <w:rPr>
          <w:rFonts w:cs="Times New Roman"/>
          <w:szCs w:val="24"/>
        </w:rPr>
        <w:t>:</w:t>
      </w:r>
    </w:p>
    <w:p w:rsidR="000B0A20" w:rsidRPr="000B0A20" w:rsidRDefault="009069DB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0B0A20" w:rsidRPr="000B0A20">
        <w:rPr>
          <w:rFonts w:ascii="Times New Roman" w:hAnsi="Times New Roman" w:cs="Times New Roman"/>
          <w:sz w:val="20"/>
          <w:szCs w:val="20"/>
        </w:rPr>
        <w:instrText xml:space="preserve">ADDIN Mendeley Bibliography CSL_BIBLIOGRAPHY </w:instrText>
      </w:r>
      <w:r w:rsidRPr="000B0A20">
        <w:rPr>
          <w:rFonts w:ascii="Times New Roman" w:hAnsi="Times New Roman" w:cs="Times New Roman"/>
          <w:sz w:val="20"/>
          <w:szCs w:val="20"/>
        </w:rPr>
        <w:fldChar w:fldCharType="separate"/>
      </w:r>
      <w:r w:rsidR="000B0A20" w:rsidRPr="000B0A20">
        <w:rPr>
          <w:rFonts w:ascii="Times New Roman" w:hAnsi="Times New Roman" w:cs="Times New Roman"/>
          <w:noProof/>
          <w:sz w:val="20"/>
          <w:szCs w:val="20"/>
        </w:rPr>
        <w:t xml:space="preserve">Baranowska-Jojko E., i Wiechuła A., </w:t>
      </w:r>
      <w:r w:rsidR="000B0A20"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Rozwojowe wzgórze : program rozwoju osobistego dla dzieci z elementami arteterapii</w:t>
      </w:r>
      <w:r w:rsidR="000B0A20" w:rsidRPr="000B0A20">
        <w:rPr>
          <w:rFonts w:ascii="Times New Roman" w:hAnsi="Times New Roman" w:cs="Times New Roman"/>
          <w:noProof/>
          <w:sz w:val="20"/>
          <w:szCs w:val="20"/>
        </w:rPr>
        <w:t>, Wydawnictwo Harmonia, Gdańsk 2016.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Barlińska J., Lalak D., i Szuster A.,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Jak skutecznie ograniczyć cyberprzemoc rówieśniczą? – o efektywności metod aktywizujących kompetencje społeczne ze szczególnym uwzględnieniem empatii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„Dziecko Krzywdzone. Teoria, Badania, Praktyka”, 2018, t.17, nr 1, s. 68–95.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Chałas K., Komorowska B., Furmanek W., i Maj A.,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Pedagogika szkolna, wczesnoszkolna i przedszkolna: teoria i praktyka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Wydawnictwo KUL, Lublin 2014.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Czerwińska M.,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Pedagogika biblioteczna</w:t>
      </w: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, [w:]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Encyklopedia pedagogiczna XXI wieku. T. 4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red. T. Pilch, Żak, Warszawa 2003, s. 114–121.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Dz.U. 2023 poz. 1610,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Ustawa z dnia 23 kwietnia 1964 r. - Kodeks cywilny</w:t>
      </w:r>
      <w:r w:rsidRPr="000B0A20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Eurostat,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Households - level of internet access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2024, https://ec.europa.eu/eurostat/en/web/main/data/database, 6.04.2024.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Gałuszka D.,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Gry wideo w perspektywie edukacji pozaformalnej i formalnej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„Państwo i Społeczeństwo”, 2017, nr 3, s. 71–84.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Gawroński K., i Kwiatkowski S.M.,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Dobry nauczyciel - dobry uczeń - dobra szkoła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Wolters Kluwer, Warszawa 2024.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Grzesiak E., Janicka-Szyszko R., i Steblecka M.,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Edukacja medialna : scenariusze zajęć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Gdańskie Wydawnictwo Psychologiczne, Gdańsk 2005.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Laskowska M.,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Media społecznościowe dla edukacji . Sprzymierzeniec czy wróg ?</w:t>
      </w: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, [w:]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Media w edukacji. Obszary lokalności – różnorodność współczesności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red. A. Roguska, Fundacja na rzecz dzieci i młodzieży „Szansa”, Siedlce 2013, s. 143–160.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Ordon U., i Skoczylas-Krotla E.,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Możliwości wykorzystania komputera w edukacji wczesnoszkolnej : szanse i zagrożenia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„Prace Naukowe Wyższej Szkoły Pedagogicznej w Częstochowie”, 2002, nr 11, s. 101–107.</w:t>
      </w:r>
    </w:p>
    <w:p w:rsidR="000B0A20" w:rsidRPr="000B0A20" w:rsidRDefault="000B0A20" w:rsidP="000B0A2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B0A20">
        <w:rPr>
          <w:rFonts w:ascii="Times New Roman" w:hAnsi="Times New Roman" w:cs="Times New Roman"/>
          <w:noProof/>
          <w:sz w:val="20"/>
          <w:szCs w:val="20"/>
        </w:rPr>
        <w:t xml:space="preserve">Stańko-Kaczmarek M., </w:t>
      </w:r>
      <w:r w:rsidRPr="000B0A20">
        <w:rPr>
          <w:rFonts w:ascii="Times New Roman" w:hAnsi="Times New Roman" w:cs="Times New Roman"/>
          <w:i/>
          <w:iCs/>
          <w:noProof/>
          <w:sz w:val="20"/>
          <w:szCs w:val="20"/>
        </w:rPr>
        <w:t>Arteterapia i warsztaty edukacji twórczej</w:t>
      </w:r>
      <w:r w:rsidRPr="000B0A20">
        <w:rPr>
          <w:rFonts w:ascii="Times New Roman" w:hAnsi="Times New Roman" w:cs="Times New Roman"/>
          <w:noProof/>
          <w:sz w:val="20"/>
          <w:szCs w:val="20"/>
        </w:rPr>
        <w:t>, Difin, Warszawa 2019.</w:t>
      </w:r>
    </w:p>
    <w:p w:rsidR="0023627E" w:rsidRPr="00192E95" w:rsidRDefault="009069DB" w:rsidP="00192E95">
      <w:pPr>
        <w:pStyle w:val="Normalny1"/>
        <w:ind w:right="-397"/>
        <w:rPr>
          <w:rFonts w:cs="Times New Roman"/>
          <w:szCs w:val="24"/>
        </w:rPr>
      </w:pPr>
      <w:r w:rsidRPr="000B0A20">
        <w:rPr>
          <w:rFonts w:cs="Times New Roman"/>
          <w:sz w:val="20"/>
          <w:szCs w:val="20"/>
        </w:rPr>
        <w:fldChar w:fldCharType="end"/>
      </w:r>
    </w:p>
    <w:p w:rsidR="0023627E" w:rsidRDefault="00236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627E" w:rsidRDefault="0023627E">
      <w:pPr>
        <w:ind w:left="-1440" w:right="10464"/>
      </w:pPr>
    </w:p>
    <w:p w:rsidR="00D43A0E" w:rsidRPr="00066277" w:rsidRDefault="00BD6017" w:rsidP="00066277">
      <w:pPr>
        <w:pStyle w:val="Nagwek1"/>
      </w:pPr>
      <w:bookmarkStart w:id="7" w:name="_Toc216162314"/>
      <w:r w:rsidRPr="00066277">
        <w:t>Aneks</w:t>
      </w:r>
      <w:bookmarkEnd w:id="7"/>
    </w:p>
    <w:p w:rsidR="00BD6017" w:rsidRPr="000A6A57" w:rsidRDefault="00BD6017" w:rsidP="00066277">
      <w:pPr>
        <w:pStyle w:val="Nagwek2"/>
      </w:pPr>
      <w:bookmarkStart w:id="8" w:name="_Toc216162315"/>
      <w:r w:rsidRPr="000A6A57">
        <w:t>Wzór strony tytułowej pracy dyplomowej</w:t>
      </w:r>
      <w:bookmarkEnd w:id="8"/>
    </w:p>
    <w:p w:rsidR="00BD6017" w:rsidRDefault="00BD6017">
      <w:pPr>
        <w:rPr>
          <w:rFonts w:ascii="Times New Roman" w:hAnsi="Times New Roman" w:cs="Times New Roman"/>
          <w:b/>
          <w:sz w:val="24"/>
          <w:szCs w:val="24"/>
        </w:rPr>
      </w:pPr>
    </w:p>
    <w:p w:rsidR="00767EC3" w:rsidRPr="00767EC3" w:rsidRDefault="00767EC3" w:rsidP="00767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C3">
        <w:rPr>
          <w:rFonts w:ascii="Times New Roman" w:hAnsi="Times New Roman" w:cs="Times New Roman"/>
          <w:b/>
          <w:sz w:val="24"/>
          <w:szCs w:val="24"/>
        </w:rPr>
        <w:t>AKADEMIA TARNOWSKA</w:t>
      </w:r>
    </w:p>
    <w:p w:rsidR="00767EC3" w:rsidRPr="00767EC3" w:rsidRDefault="00767EC3" w:rsidP="00767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C3">
        <w:rPr>
          <w:rFonts w:ascii="Times New Roman" w:hAnsi="Times New Roman" w:cs="Times New Roman"/>
          <w:b/>
          <w:sz w:val="24"/>
          <w:szCs w:val="24"/>
        </w:rPr>
        <w:t>WYDZIAŁ NAUK HUMANISTYCZNYCH I SPOŁECZNYCH</w:t>
      </w:r>
    </w:p>
    <w:p w:rsidR="00767EC3" w:rsidRPr="00767EC3" w:rsidRDefault="00767EC3" w:rsidP="00767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C3">
        <w:rPr>
          <w:rFonts w:ascii="Times New Roman" w:hAnsi="Times New Roman" w:cs="Times New Roman"/>
          <w:b/>
          <w:sz w:val="24"/>
          <w:szCs w:val="24"/>
        </w:rPr>
        <w:t>KATEDRA PEDAGOGIKI</w:t>
      </w:r>
    </w:p>
    <w:p w:rsidR="00767EC3" w:rsidRPr="00767EC3" w:rsidRDefault="00767EC3" w:rsidP="00767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C3">
        <w:rPr>
          <w:rFonts w:ascii="Times New Roman" w:hAnsi="Times New Roman" w:cs="Times New Roman"/>
          <w:b/>
          <w:sz w:val="24"/>
          <w:szCs w:val="24"/>
        </w:rPr>
        <w:t>KIERUNEK PEDAGOGIKA PRZEDSZKOLNA I WCZESNOSZKOLNA</w:t>
      </w: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>
      <w:pPr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ANNA KOWALSKA</w:t>
      </w: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(nr albumu …)</w:t>
      </w:r>
    </w:p>
    <w:p w:rsidR="00767EC3" w:rsidRPr="00767EC3" w:rsidRDefault="00767EC3" w:rsidP="00767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 w:rsidP="00767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 w:rsidP="00767E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EC3">
        <w:rPr>
          <w:rFonts w:ascii="Times New Roman" w:hAnsi="Times New Roman" w:cs="Times New Roman"/>
          <w:b/>
          <w:sz w:val="32"/>
          <w:szCs w:val="32"/>
        </w:rPr>
        <w:t>Tytuł pracy dyplomowej</w:t>
      </w: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Default="00767EC3" w:rsidP="00767E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C3" w:rsidRPr="00767EC3" w:rsidRDefault="00767EC3" w:rsidP="00767E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7EC3">
        <w:rPr>
          <w:rFonts w:ascii="Times New Roman" w:hAnsi="Times New Roman" w:cs="Times New Roman"/>
          <w:b/>
          <w:sz w:val="24"/>
          <w:szCs w:val="24"/>
        </w:rPr>
        <w:t>Praca dyplomowa</w:t>
      </w:r>
    </w:p>
    <w:p w:rsidR="00767EC3" w:rsidRPr="00767EC3" w:rsidRDefault="00767EC3" w:rsidP="00767E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EC3">
        <w:rPr>
          <w:rFonts w:ascii="Times New Roman" w:hAnsi="Times New Roman" w:cs="Times New Roman"/>
          <w:b/>
          <w:sz w:val="24"/>
          <w:szCs w:val="24"/>
        </w:rPr>
        <w:t>napisana</w:t>
      </w:r>
      <w:proofErr w:type="gramEnd"/>
      <w:r w:rsidRPr="00767EC3">
        <w:rPr>
          <w:rFonts w:ascii="Times New Roman" w:hAnsi="Times New Roman" w:cs="Times New Roman"/>
          <w:b/>
          <w:sz w:val="24"/>
          <w:szCs w:val="24"/>
        </w:rPr>
        <w:t xml:space="preserve"> pod kierunkiem</w:t>
      </w:r>
    </w:p>
    <w:p w:rsidR="00767EC3" w:rsidRDefault="00767EC3" w:rsidP="00767E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EC3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Pr="00767EC3">
        <w:rPr>
          <w:rFonts w:ascii="Times New Roman" w:hAnsi="Times New Roman" w:cs="Times New Roman"/>
          <w:b/>
          <w:sz w:val="24"/>
          <w:szCs w:val="24"/>
        </w:rPr>
        <w:t xml:space="preserve"> / dr hab./ prof. dr hab. …</w:t>
      </w: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C3" w:rsidRPr="00767EC3" w:rsidRDefault="00767EC3" w:rsidP="00767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Tarnów 20XX</w:t>
      </w:r>
    </w:p>
    <w:p w:rsidR="00BD6017" w:rsidRDefault="00BD6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7735C" w:rsidRPr="00BD6017" w:rsidRDefault="00D7735C" w:rsidP="00066277">
      <w:pPr>
        <w:pStyle w:val="Nagwek2"/>
      </w:pPr>
      <w:bookmarkStart w:id="9" w:name="_Toc216162316"/>
      <w:r w:rsidRPr="00BD6017">
        <w:lastRenderedPageBreak/>
        <w:t>Wzór opisu płyty CD/</w:t>
      </w:r>
      <w:proofErr w:type="spellStart"/>
      <w:r w:rsidRPr="00BD6017">
        <w:t>DVD</w:t>
      </w:r>
      <w:bookmarkEnd w:id="9"/>
      <w:proofErr w:type="spellEnd"/>
    </w:p>
    <w:p w:rsidR="00BD6017" w:rsidRDefault="00BD6017" w:rsidP="00956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EC6" w:rsidRDefault="00BD6017" w:rsidP="00BD6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1550" cy="464820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17" w:rsidRDefault="00BD6017" w:rsidP="00BD6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017" w:rsidRDefault="00BD6017">
      <w:pPr>
        <w:rPr>
          <w:rFonts w:ascii="Times New Roman" w:hAnsi="Times New Roman" w:cs="Times New Roman"/>
          <w:sz w:val="24"/>
          <w:szCs w:val="24"/>
        </w:rPr>
      </w:pPr>
    </w:p>
    <w:sectPr w:rsidR="00BD6017" w:rsidSect="005E4469">
      <w:headerReference w:type="default" r:id="rId11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Default="009069DB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8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192E95"/>
    <w:rsid w:val="001C16BE"/>
    <w:rsid w:val="00220F21"/>
    <w:rsid w:val="0023627E"/>
    <w:rsid w:val="003628E8"/>
    <w:rsid w:val="00364B5B"/>
    <w:rsid w:val="003A0B45"/>
    <w:rsid w:val="003C7119"/>
    <w:rsid w:val="00403C86"/>
    <w:rsid w:val="0041620F"/>
    <w:rsid w:val="0042183F"/>
    <w:rsid w:val="0042704A"/>
    <w:rsid w:val="00462B08"/>
    <w:rsid w:val="004B0BB6"/>
    <w:rsid w:val="004B4225"/>
    <w:rsid w:val="004E3D04"/>
    <w:rsid w:val="0057787E"/>
    <w:rsid w:val="005E4469"/>
    <w:rsid w:val="00676EC6"/>
    <w:rsid w:val="006A50AE"/>
    <w:rsid w:val="006D6B28"/>
    <w:rsid w:val="00767EC3"/>
    <w:rsid w:val="007C786C"/>
    <w:rsid w:val="007E2BB9"/>
    <w:rsid w:val="00887094"/>
    <w:rsid w:val="00892676"/>
    <w:rsid w:val="008935E2"/>
    <w:rsid w:val="008D6335"/>
    <w:rsid w:val="008E489C"/>
    <w:rsid w:val="009069DB"/>
    <w:rsid w:val="00954CA0"/>
    <w:rsid w:val="009568E3"/>
    <w:rsid w:val="00964658"/>
    <w:rsid w:val="009845B6"/>
    <w:rsid w:val="00990BE4"/>
    <w:rsid w:val="009D59DE"/>
    <w:rsid w:val="009E36E3"/>
    <w:rsid w:val="009F4747"/>
    <w:rsid w:val="00A00A21"/>
    <w:rsid w:val="00A26479"/>
    <w:rsid w:val="00A54025"/>
    <w:rsid w:val="00AF06F2"/>
    <w:rsid w:val="00B34FC1"/>
    <w:rsid w:val="00B44517"/>
    <w:rsid w:val="00B86F32"/>
    <w:rsid w:val="00BB3B7C"/>
    <w:rsid w:val="00BD6017"/>
    <w:rsid w:val="00C044AD"/>
    <w:rsid w:val="00CB6858"/>
    <w:rsid w:val="00D43A0E"/>
    <w:rsid w:val="00D7735C"/>
    <w:rsid w:val="00D8190B"/>
    <w:rsid w:val="00DC4E3A"/>
    <w:rsid w:val="00E47B56"/>
    <w:rsid w:val="00E87C2E"/>
    <w:rsid w:val="00F57645"/>
    <w:rsid w:val="00F61E85"/>
    <w:rsid w:val="00F7672C"/>
    <w:rsid w:val="00FB0316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Liczba</c:v>
                </c:pt>
              </c:strCache>
            </c:strRef>
          </c:tx>
          <c:dLbls>
            <c:showVal val="1"/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Arkusz1!$B$2:$B$5</c:f>
              <c:numCache>
                <c:formatCode>0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19</c:v>
                </c:pt>
                <c:pt idx="3">
                  <c:v>25</c:v>
                </c:pt>
              </c:numCache>
            </c:numRef>
          </c:val>
        </c:ser>
        <c:axId val="140051584"/>
        <c:axId val="140053504"/>
      </c:barChart>
      <c:catAx>
        <c:axId val="140051584"/>
        <c:scaling>
          <c:orientation val="minMax"/>
        </c:scaling>
        <c:axPos val="b"/>
        <c:numFmt formatCode="General" sourceLinked="1"/>
        <c:tickLblPos val="nextTo"/>
        <c:crossAx val="140053504"/>
        <c:crosses val="autoZero"/>
        <c:auto val="1"/>
        <c:lblAlgn val="ctr"/>
        <c:lblOffset val="100"/>
      </c:catAx>
      <c:valAx>
        <c:axId val="140053504"/>
        <c:scaling>
          <c:orientation val="minMax"/>
        </c:scaling>
        <c:axPos val="l"/>
        <c:majorGridlines/>
        <c:numFmt formatCode="0" sourceLinked="1"/>
        <c:tickLblPos val="nextTo"/>
        <c:crossAx val="140051584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A0663-549B-4A51-A892-E914FCF0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4045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35</cp:revision>
  <dcterms:created xsi:type="dcterms:W3CDTF">2025-10-05T08:43:00Z</dcterms:created>
  <dcterms:modified xsi:type="dcterms:W3CDTF">2025-12-09T07:45:00Z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