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Calibri" w:hAnsi="Calibri" w:cs="Calibri"/>
          <w:i w:val="0"/>
          <w:sz w:val="20"/>
          <w:lang w:val="pl-PL"/>
        </w:rPr>
      </w:pPr>
      <w:r>
        <w:rPr>
          <w:rFonts w:hint="default" w:ascii="Calibri" w:hAnsi="Calibri" w:cs="Calibri"/>
          <w:i w:val="0"/>
          <w:sz w:val="20"/>
          <w:lang w:val="pl-PL"/>
        </w:rPr>
        <w:t>Akademia Nauk Stosowanych</w:t>
      </w:r>
      <w:r>
        <w:rPr>
          <w:rFonts w:ascii="Calibri" w:hAnsi="Calibri" w:cs="Calibri"/>
          <w:i w:val="0"/>
          <w:sz w:val="20"/>
        </w:rPr>
        <w:t xml:space="preserve"> w Tarnowie</w:t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 xml:space="preserve">     </w:t>
      </w:r>
      <w:r>
        <w:rPr>
          <w:rFonts w:ascii="Calibri" w:hAnsi="Calibri" w:cs="Calibri"/>
          <w:i w:val="0"/>
          <w:sz w:val="20"/>
        </w:rPr>
        <w:tab/>
      </w:r>
      <w:r>
        <w:rPr>
          <w:rFonts w:ascii="Calibri" w:hAnsi="Calibri" w:cs="Calibri"/>
          <w:i w:val="0"/>
          <w:sz w:val="20"/>
        </w:rPr>
        <w:t>rok akad. 202</w:t>
      </w:r>
      <w:r>
        <w:rPr>
          <w:rFonts w:hint="default" w:ascii="Calibri" w:hAnsi="Calibri" w:cs="Calibri"/>
          <w:i w:val="0"/>
          <w:sz w:val="20"/>
          <w:lang w:val="pl-PL"/>
        </w:rPr>
        <w:t>2</w:t>
      </w:r>
      <w:r>
        <w:rPr>
          <w:rFonts w:ascii="Calibri" w:hAnsi="Calibri" w:cs="Calibri"/>
          <w:i w:val="0"/>
          <w:sz w:val="20"/>
        </w:rPr>
        <w:t>/202</w:t>
      </w:r>
      <w:r>
        <w:rPr>
          <w:rFonts w:hint="default" w:ascii="Calibri" w:hAnsi="Calibri" w:cs="Calibri"/>
          <w:i w:val="0"/>
          <w:sz w:val="20"/>
          <w:lang w:val="pl-PL"/>
        </w:rPr>
        <w:t>3</w:t>
      </w:r>
    </w:p>
    <w:p>
      <w:pPr>
        <w:pStyle w:val="4"/>
        <w:jc w:val="left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Katedra Filologii Polskiej</w:t>
      </w:r>
    </w:p>
    <w:p>
      <w:pPr>
        <w:pStyle w:val="4"/>
        <w:rPr>
          <w:rFonts w:ascii="Calibri" w:hAnsi="Calibri" w:cs="Calibri"/>
          <w:i w:val="0"/>
          <w:sz w:val="20"/>
        </w:rPr>
      </w:pPr>
      <w:r>
        <w:rPr>
          <w:rFonts w:ascii="Calibri" w:hAnsi="Calibri" w:cs="Calibri"/>
          <w:i w:val="0"/>
          <w:sz w:val="20"/>
        </w:rPr>
        <w:t>WYKAZ EGZAMINÓW I ZALICZEŃ</w:t>
      </w:r>
    </w:p>
    <w:p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ROK II – SEMESTR III</w:t>
      </w:r>
    </w:p>
    <w:p>
      <w:pPr>
        <w:jc w:val="center"/>
        <w:rPr>
          <w:rFonts w:ascii="Calibri" w:hAnsi="Calibri" w:cs="Calibri"/>
          <w:b/>
        </w:rPr>
      </w:pPr>
    </w:p>
    <w:p>
      <w:pPr>
        <w:jc w:val="center"/>
        <w:rPr>
          <w:rFonts w:hint="default" w:ascii="Calibri" w:hAnsi="Calibri" w:cs="Calibri"/>
          <w:lang w:val="pl-PL"/>
        </w:rPr>
      </w:pPr>
      <w:r>
        <w:rPr>
          <w:rFonts w:ascii="Calibri" w:hAnsi="Calibri" w:cs="Calibri"/>
          <w:b/>
        </w:rPr>
        <w:t>kierunek filologia polska, specjalność</w:t>
      </w:r>
      <w:r>
        <w:rPr>
          <w:rFonts w:hint="default" w:ascii="Calibri" w:hAnsi="Calibri" w:cs="Calibri"/>
          <w:b/>
          <w:lang w:val="pl-PL"/>
        </w:rPr>
        <w:t xml:space="preserve"> nauczycielska/</w:t>
      </w:r>
      <w:r>
        <w:rPr>
          <w:rFonts w:ascii="Calibri" w:hAnsi="Calibri" w:cs="Calibri"/>
          <w:b/>
        </w:rPr>
        <w:t xml:space="preserve"> komunikowanie wizerunkowe: promocja, reklama i public relations</w:t>
      </w:r>
      <w:r>
        <w:rPr>
          <w:rFonts w:hint="default" w:ascii="Calibri" w:hAnsi="Calibri" w:cs="Calibri"/>
          <w:b/>
          <w:lang w:val="pl-PL"/>
        </w:rPr>
        <w:t>/twórcze pisarstwo</w:t>
      </w:r>
      <w:r>
        <w:rPr>
          <w:rFonts w:ascii="Calibri" w:hAnsi="Calibri" w:cs="Calibri"/>
          <w:b/>
        </w:rPr>
        <w:t>,  studia stacjonarne, drugiego stopnia</w:t>
      </w:r>
    </w:p>
    <w:tbl>
      <w:tblPr>
        <w:tblStyle w:val="3"/>
        <w:tblpPr w:leftFromText="180" w:rightFromText="180" w:vertAnchor="text" w:horzAnchor="page" w:tblpX="944" w:tblpY="319"/>
        <w:tblOverlap w:val="never"/>
        <w:tblW w:w="9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"/>
        <w:gridCol w:w="2454"/>
        <w:gridCol w:w="2990"/>
        <w:gridCol w:w="575"/>
        <w:gridCol w:w="575"/>
        <w:gridCol w:w="180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245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Nazwa przedmiotu</w:t>
            </w:r>
          </w:p>
        </w:tc>
        <w:tc>
          <w:tcPr>
            <w:tcW w:w="299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Wykładowcy</w:t>
            </w:r>
          </w:p>
        </w:tc>
        <w:tc>
          <w:tcPr>
            <w:tcW w:w="115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Forma zajęć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 liczba godzin </w:t>
            </w:r>
          </w:p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 semestrze</w:t>
            </w:r>
          </w:p>
        </w:tc>
        <w:tc>
          <w:tcPr>
            <w:tcW w:w="180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Forma zaliczenia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 punktów 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496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</w:t>
            </w:r>
          </w:p>
        </w:tc>
        <w:tc>
          <w:tcPr>
            <w:tcW w:w="5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ĆP</w:t>
            </w: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</w:t>
            </w:r>
          </w:p>
        </w:tc>
        <w:tc>
          <w:tcPr>
            <w:tcW w:w="540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ĆP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96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Kierunki w lingwistyce</w:t>
            </w:r>
          </w:p>
        </w:tc>
        <w:tc>
          <w:tcPr>
            <w:tcW w:w="29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hab Urszula Wójcik, prof. Uczelni</w:t>
            </w:r>
          </w:p>
        </w:tc>
        <w:tc>
          <w:tcPr>
            <w:tcW w:w="5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cs="Calibri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Polszczyzna w rozwoju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Krystyna Data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b w:val="0"/>
                <w:bCs/>
                <w:sz w:val="16"/>
                <w:szCs w:val="16"/>
                <w:lang w:val="pl-PL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5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Retoryka praktyczna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Elżbieta Kwinta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0" w:hRule="atLeast"/>
        </w:trPr>
        <w:tc>
          <w:tcPr>
            <w:tcW w:w="49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vMerge w:val="restart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Seminarium magisterskie</w:t>
            </w: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**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hab. Michał Nawrocki, prof. Uczelni</w:t>
            </w:r>
          </w:p>
        </w:tc>
        <w:tc>
          <w:tcPr>
            <w:tcW w:w="5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15 S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0" w:hRule="atLeast"/>
        </w:trPr>
        <w:tc>
          <w:tcPr>
            <w:tcW w:w="4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2454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prof. dr hab. Teresa Wilkoń</w:t>
            </w: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0" w:hRule="atLeast"/>
        </w:trPr>
        <w:tc>
          <w:tcPr>
            <w:tcW w:w="49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vMerge w:val="restart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Opcja </w:t>
            </w: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**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prof. dr hab. Teresa Wilkoń</w:t>
            </w:r>
          </w:p>
        </w:tc>
        <w:tc>
          <w:tcPr>
            <w:tcW w:w="5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0" w:hRule="atLeast"/>
        </w:trPr>
        <w:tc>
          <w:tcPr>
            <w:tcW w:w="4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2454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hab. Michał Nawrocki, prof. Uczelni</w:t>
            </w: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Lektorat języka angielskiego</w:t>
            </w: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*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Lektor SJO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997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cs="Calibri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Specjalność: komunikowanie wizerunkowe: promocja, reklama i public relations </w:t>
            </w:r>
            <w:r>
              <w:rPr>
                <w:rFonts w:hint="default" w:ascii="Calibri" w:hAnsi="Calibri" w:cs="Calibri"/>
                <w:b/>
                <w:sz w:val="16"/>
                <w:szCs w:val="16"/>
                <w:lang w:val="pl-PL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9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E-public relations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tabs>
                <w:tab w:val="left" w:pos="870"/>
              </w:tabs>
              <w:spacing w:line="100" w:lineRule="atLeast"/>
              <w:rPr>
                <w:rFonts w:hint="default" w:ascii="Calibri" w:hAnsi="Calibri" w:cs="Calibri"/>
                <w:i w:val="0"/>
                <w:iCs/>
                <w:color w:val="FF0000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cs="Calibri"/>
                <w:i w:val="0"/>
                <w:iCs/>
                <w:color w:val="auto"/>
                <w:sz w:val="16"/>
                <w:szCs w:val="16"/>
                <w:lang w:val="pl-PL" w:eastAsia="zh-CN" w:bidi="ar-SA"/>
              </w:rPr>
              <w:t xml:space="preserve">mgr inż. Łukasz Rozborski 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15</w:t>
            </w: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 xml:space="preserve"> LI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cs="Calibri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4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2.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Etyka reklamy i public relations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i w:val="0"/>
                <w:iCs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i w:val="0"/>
                <w:iCs/>
                <w:color w:val="auto"/>
                <w:sz w:val="16"/>
                <w:szCs w:val="16"/>
                <w:lang w:val="pl-PL"/>
              </w:rPr>
              <w:t>dr Ewelina Suszek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 xml:space="preserve"> LI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egzamin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3.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Kreowanie i zarządzanie wizerunkiem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tabs>
                <w:tab w:val="left" w:pos="870"/>
              </w:tabs>
              <w:spacing w:after="0" w:line="100" w:lineRule="atLeast"/>
              <w:jc w:val="left"/>
              <w:rPr>
                <w:rFonts w:hint="default" w:ascii="Calibri" w:hAnsi="Calibri" w:cs="Calibri"/>
                <w:i w:val="0"/>
                <w:iCs/>
                <w:color w:val="auto"/>
                <w:sz w:val="16"/>
                <w:szCs w:val="16"/>
                <w:lang w:val="pl-PL" w:eastAsia="zh-CN" w:bidi="ar-SA"/>
              </w:rPr>
            </w:pPr>
            <w:r>
              <w:rPr>
                <w:rFonts w:hint="default" w:ascii="Calibri" w:hAnsi="Calibri" w:cs="Calibri"/>
                <w:i w:val="0"/>
                <w:iCs/>
                <w:color w:val="auto"/>
                <w:sz w:val="16"/>
                <w:szCs w:val="16"/>
                <w:lang w:val="pl-PL" w:eastAsia="zh-CN" w:bidi="ar-SA"/>
              </w:rPr>
              <w:t>d</w:t>
            </w:r>
            <w:bookmarkStart w:id="0" w:name="_GoBack"/>
            <w:bookmarkEnd w:id="0"/>
            <w:r>
              <w:rPr>
                <w:rFonts w:hint="default" w:ascii="Calibri" w:hAnsi="Calibri" w:cs="Calibri"/>
                <w:i w:val="0"/>
                <w:iCs/>
                <w:color w:val="auto"/>
                <w:sz w:val="16"/>
                <w:szCs w:val="16"/>
                <w:lang w:val="pl-PL" w:eastAsia="zh-CN" w:bidi="ar-SA"/>
              </w:rPr>
              <w:t>r Anna Świętek</w:t>
            </w:r>
          </w:p>
          <w:p>
            <w:pPr>
              <w:tabs>
                <w:tab w:val="left" w:pos="870"/>
              </w:tabs>
              <w:spacing w:line="100" w:lineRule="atLeast"/>
              <w:rPr>
                <w:rFonts w:hint="default" w:ascii="Calibri" w:hAnsi="Calibri" w:cs="Calibri"/>
                <w:i w:val="0"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5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Media relations i wypowiedzi publiczne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i w:val="0"/>
                <w:iCs/>
                <w:sz w:val="16"/>
                <w:szCs w:val="16"/>
              </w:rPr>
            </w:pPr>
            <w:r>
              <w:rPr>
                <w:rFonts w:hint="default" w:ascii="Calibri" w:hAnsi="Calibri" w:cs="Calibri"/>
                <w:i w:val="0"/>
                <w:iCs/>
                <w:color w:val="auto"/>
                <w:sz w:val="16"/>
                <w:szCs w:val="16"/>
                <w:lang w:val="pl-PL" w:eastAsia="zh-CN" w:bidi="ar-SA"/>
              </w:rPr>
              <w:t>mgr Piotr Kopa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Praktyka zawodowa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ind w:left="360" w:hanging="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 Krystyna Choińska, prof. Uczelni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 xml:space="preserve"> PR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ascii="Calibri" w:hAnsi="Calibri" w:cs="Calibri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9970" w:type="dxa"/>
            <w:gridSpan w:val="8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Specjalność: </w:t>
            </w:r>
            <w:r>
              <w:rPr>
                <w:rFonts w:hint="default" w:ascii="Calibri" w:hAnsi="Calibri" w:cs="Calibri"/>
                <w:b/>
                <w:sz w:val="16"/>
                <w:szCs w:val="16"/>
                <w:lang w:val="pl-PL"/>
              </w:rPr>
              <w:t>nauczycielska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16"/>
                <w:szCs w:val="16"/>
                <w:lang w:val="pl-PL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en-US" w:eastAsia="zh-CN" w:bidi="ar"/>
              </w:rPr>
              <w:t>Metodyka nauczania literatury i języka polskiego</w:t>
            </w: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 xml:space="preserve">  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ind w:left="360" w:hanging="360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 Krystyna Choińska, prof. Uczelni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b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egzamin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en-US" w:eastAsia="zh-CN" w:bidi="ar"/>
              </w:rPr>
              <w:t>Warsztat tekstotwórczy ucznia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ind w:left="360" w:hanging="360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Elżbieta Kwinta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b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en-US" w:eastAsia="zh-CN" w:bidi="ar"/>
              </w:rPr>
              <w:t>Praktyka zawodowa: Praktyka psychologiczno-pedagogiczna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ind w:left="360" w:hanging="360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 Krystyna Choińska, prof. Uczelni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30 PR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b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widowControl w:val="0"/>
              <w:tabs>
                <w:tab w:val="left" w:pos="735"/>
                <w:tab w:val="center" w:pos="1333"/>
              </w:tabs>
              <w:autoSpaceDE w:val="0"/>
              <w:snapToGrid w:val="0"/>
              <w:spacing w:after="0" w:line="100" w:lineRule="atLeast"/>
              <w:jc w:val="left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en-US" w:eastAsia="zh-CN" w:bidi="ar"/>
              </w:rPr>
              <w:t>Praktyka zawodowa: Praktyka nauczycielska</w:t>
            </w: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 xml:space="preserve"> 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ind w:left="360" w:hanging="360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 Krystyna Choińska, prof. Uczelni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30 PR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zaliczenie z oceną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ind w:left="360" w:hanging="360"/>
              <w:jc w:val="center"/>
              <w:rPr>
                <w:rFonts w:hint="default"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9970" w:type="dxa"/>
            <w:gridSpan w:val="8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Specjalność: </w:t>
            </w:r>
            <w:r>
              <w:rPr>
                <w:rFonts w:hint="default" w:ascii="Calibri" w:hAnsi="Calibri" w:cs="Calibri"/>
                <w:b/>
                <w:sz w:val="16"/>
                <w:szCs w:val="16"/>
                <w:lang w:val="pl-PL"/>
              </w:rPr>
              <w:t>twórcze pisarstwo 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pStyle w:val="5"/>
              <w:snapToGrid w:val="0"/>
              <w:spacing w:after="0"/>
              <w:jc w:val="left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en-US" w:eastAsia="zh-CN" w:bidi="ar"/>
              </w:rPr>
              <w:t>Język w akcji - od perswazji do manipulacji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i w:val="0"/>
                <w:iCs w:val="0"/>
                <w:sz w:val="16"/>
                <w:szCs w:val="16"/>
                <w:lang w:val="pl-PL"/>
              </w:rPr>
              <w:t>dr hab. Eliza Krzyńska-Nawrocka, prof. Uczelni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spacing w:after="0"/>
              <w:jc w:val="left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zaliczenie z oceną</w:t>
            </w:r>
          </w:p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pStyle w:val="5"/>
              <w:snapToGrid w:val="0"/>
              <w:spacing w:after="0"/>
              <w:jc w:val="left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en-US" w:eastAsia="zh-CN" w:bidi="ar"/>
              </w:rPr>
              <w:t>Język sztuki a sztuka jako język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hab. Michał Nawrocki, prof. Uczelni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spacing w:after="0"/>
              <w:jc w:val="left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zaliczenie z oceną</w:t>
            </w:r>
          </w:p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9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pStyle w:val="5"/>
              <w:snapToGrid w:val="0"/>
              <w:spacing w:after="0"/>
              <w:jc w:val="left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en-US" w:eastAsia="zh-CN" w:bidi="ar"/>
              </w:rPr>
              <w:t>Budowanie wizerunku z elementami public relations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hab. Michał Nawrocki, prof. Uczelni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spacing w:after="0"/>
              <w:jc w:val="left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zaliczenie z oceną</w:t>
            </w:r>
          </w:p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pStyle w:val="5"/>
              <w:snapToGrid w:val="0"/>
              <w:spacing w:after="0"/>
              <w:jc w:val="left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en-US" w:eastAsia="zh-CN" w:bidi="ar"/>
              </w:rPr>
              <w:t>Promocja w środowisku lokalnym i samorządowym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eastAsia="SimSun" w:cs="Calibri"/>
                <w:i w:val="0"/>
                <w:iCs w:val="0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pl-PL"/>
              </w:rPr>
              <w:t>dr hab. Michał Nawrocki, prof. Uczelni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napToGrid w:val="0"/>
              <w:spacing w:after="0"/>
              <w:jc w:val="left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zaliczenie z oceną</w:t>
            </w:r>
          </w:p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" w:hRule="atLeast"/>
        </w:trPr>
        <w:tc>
          <w:tcPr>
            <w:tcW w:w="4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snapToGrid w:val="0"/>
              <w:spacing w:after="0"/>
              <w:jc w:val="left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en-US" w:eastAsia="zh-CN" w:bidi="ar"/>
              </w:rPr>
              <w:t>Praktyka zawodowa</w:t>
            </w:r>
          </w:p>
        </w:tc>
        <w:tc>
          <w:tcPr>
            <w:tcW w:w="299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eastAsia="SimSun" w:cs="Calibri"/>
                <w:i/>
                <w:iCs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cs="Calibri"/>
                <w:i w:val="0"/>
                <w:iCs w:val="0"/>
                <w:sz w:val="16"/>
                <w:szCs w:val="16"/>
                <w:lang w:val="pl-PL" w:eastAsia="zh-CN" w:bidi="ar-SA"/>
              </w:rPr>
              <w:t>dr hab. Michał Nawrocki, prof. Uczelni</w:t>
            </w:r>
          </w:p>
        </w:tc>
        <w:tc>
          <w:tcPr>
            <w:tcW w:w="57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60 PR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zaliczenie z oceną</w:t>
            </w:r>
          </w:p>
        </w:tc>
        <w:tc>
          <w:tcPr>
            <w:tcW w:w="54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360" w:hanging="360"/>
              <w:jc w:val="left"/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kern w:val="0"/>
                <w:sz w:val="16"/>
                <w:szCs w:val="16"/>
                <w:lang w:val="pl-PL" w:eastAsia="zh-CN" w:bidi="ar"/>
              </w:rPr>
              <w:t>4</w:t>
            </w:r>
          </w:p>
        </w:tc>
      </w:tr>
    </w:tbl>
    <w:p>
      <w:pPr>
        <w:rPr>
          <w:rFonts w:ascii="Calibri" w:hAnsi="Calibri" w:cs="Calibri"/>
          <w:b/>
          <w:sz w:val="16"/>
          <w:szCs w:val="16"/>
        </w:rPr>
      </w:pPr>
    </w:p>
    <w:p>
      <w:pPr>
        <w:rPr>
          <w:b w:val="0"/>
          <w:bCs w:val="0"/>
        </w:rPr>
      </w:pPr>
    </w:p>
    <w:p>
      <w:pPr>
        <w:rPr>
          <w:rFonts w:hint="default" w:ascii="Calibri" w:hAnsi="Calibri" w:cs="Calibri"/>
          <w:b w:val="0"/>
          <w:bCs w:val="0"/>
          <w:sz w:val="18"/>
          <w:szCs w:val="18"/>
          <w:lang w:val="pl-PL"/>
        </w:rPr>
      </w:pPr>
      <w:r>
        <w:rPr>
          <w:rFonts w:hint="default" w:ascii="Calibri" w:hAnsi="Calibri" w:cs="Calibri"/>
          <w:b w:val="0"/>
          <w:bCs w:val="0"/>
          <w:sz w:val="18"/>
          <w:szCs w:val="18"/>
          <w:lang w:val="pl-PL"/>
        </w:rPr>
        <w:t>O</w:t>
      </w:r>
      <w:r>
        <w:rPr>
          <w:rFonts w:ascii="Calibri" w:hAnsi="Calibri" w:cs="Calibri"/>
          <w:b w:val="0"/>
          <w:bCs w:val="0"/>
          <w:sz w:val="18"/>
          <w:szCs w:val="18"/>
        </w:rPr>
        <w:t>bjaśnienia skrótów: W – wykład</w:t>
      </w:r>
      <w:r>
        <w:rPr>
          <w:rFonts w:hint="default" w:ascii="Calibri" w:hAnsi="Calibri" w:cs="Calibri"/>
          <w:b w:val="0"/>
          <w:bCs w:val="0"/>
          <w:sz w:val="18"/>
          <w:szCs w:val="18"/>
          <w:lang w:val="pl-PL"/>
        </w:rPr>
        <w:t xml:space="preserve">, </w:t>
      </w:r>
      <w:r>
        <w:rPr>
          <w:rFonts w:ascii="Calibri" w:hAnsi="Calibri" w:cs="Calibri"/>
          <w:b w:val="0"/>
          <w:bCs w:val="0"/>
          <w:sz w:val="18"/>
          <w:szCs w:val="18"/>
        </w:rPr>
        <w:t>ĆP – ćwiczenia praktyczne</w:t>
      </w:r>
      <w:r>
        <w:rPr>
          <w:rFonts w:hint="default" w:ascii="Calibri" w:hAnsi="Calibri" w:cs="Calibri"/>
          <w:b w:val="0"/>
          <w:bCs w:val="0"/>
          <w:sz w:val="18"/>
          <w:szCs w:val="18"/>
          <w:lang w:val="pl-PL"/>
        </w:rPr>
        <w:t xml:space="preserve">,  LI - laboratorium informatyczne, PR - praktyki </w:t>
      </w:r>
    </w:p>
    <w:p>
      <w:pPr>
        <w:rPr>
          <w:rFonts w:ascii="Calibri" w:hAnsi="Calibri" w:cs="Calibri"/>
          <w:b w:val="0"/>
          <w:bCs w:val="0"/>
        </w:rPr>
      </w:pPr>
    </w:p>
    <w:p>
      <w:pPr>
        <w:spacing w:line="360" w:lineRule="auto"/>
        <w:ind w:right="-648"/>
        <w:rPr>
          <w:rFonts w:ascii="Calibri" w:hAnsi="Calibri" w:cs="Calibri"/>
          <w:b w:val="0"/>
          <w:bCs w:val="0"/>
          <w:sz w:val="18"/>
          <w:szCs w:val="18"/>
        </w:rPr>
      </w:pPr>
      <w:r>
        <w:rPr>
          <w:rFonts w:ascii="Calibri" w:hAnsi="Calibri" w:cs="Calibri"/>
          <w:b w:val="0"/>
          <w:bCs w:val="0"/>
          <w:sz w:val="18"/>
          <w:szCs w:val="18"/>
        </w:rPr>
        <w:t xml:space="preserve">*   Studenci wpisują do indeksu wybrany lektorat oraz imię i nazwisko nauczyciela prowadzącego zajęcia. </w:t>
      </w:r>
    </w:p>
    <w:p>
      <w:pPr>
        <w:rPr>
          <w:b w:val="0"/>
          <w:bCs w:val="0"/>
        </w:rPr>
      </w:pPr>
      <w:r>
        <w:rPr>
          <w:rFonts w:hint="default" w:ascii="Calibri" w:hAnsi="Calibri" w:cs="Calibri"/>
          <w:b w:val="0"/>
          <w:bCs w:val="0"/>
          <w:sz w:val="18"/>
          <w:szCs w:val="18"/>
          <w:lang w:val="pl-PL"/>
        </w:rPr>
        <w:t>**</w:t>
      </w:r>
      <w:r>
        <w:rPr>
          <w:rFonts w:ascii="Calibri" w:hAnsi="Calibri" w:cs="Calibri"/>
          <w:b w:val="0"/>
          <w:bCs w:val="0"/>
          <w:sz w:val="18"/>
          <w:szCs w:val="18"/>
        </w:rPr>
        <w:t xml:space="preserve"> Studenci wpisują do indeksu wybrany przedmiot oraz wybraną specjalność.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6A3CEA"/>
    <w:multiLevelType w:val="multilevel"/>
    <w:tmpl w:val="6C6A3CE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16"/>
        <w:szCs w:val="16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E4BD2"/>
    <w:rsid w:val="0B961CA0"/>
    <w:rsid w:val="186C6AB5"/>
    <w:rsid w:val="328530EB"/>
    <w:rsid w:val="40F15AD5"/>
    <w:rsid w:val="47E52CE6"/>
    <w:rsid w:val="4A152460"/>
    <w:rsid w:val="4F34019F"/>
    <w:rsid w:val="5C6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jc w:val="center"/>
    </w:pPr>
    <w:rPr>
      <w:b/>
      <w:i/>
      <w:sz w:val="40"/>
    </w:rPr>
  </w:style>
  <w:style w:type="paragraph" w:customStyle="1" w:styleId="5">
    <w:name w:val="Tekst podstawowy 21"/>
    <w:basedOn w:val="1"/>
    <w:qFormat/>
    <w:uiPriority w:val="0"/>
    <w:pPr>
      <w:spacing w:line="100" w:lineRule="atLeast"/>
    </w:pPr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2022-09-22T10:10:00Z</dcterms:created>
  <dc:creator>Ela</dc:creator>
  <cp:lastModifiedBy>Ela</cp:lastModifiedBy>
  <dcterms:modified xsi:type="dcterms:W3CDTF">2022-10-28T06:43:52Z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1229297BCB734600BB9850D675DFB6B1</vt:lpwstr>
  </property>
</Properties>
</file>